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405EBC" w14:textId="77777777" w:rsidR="00B1483F" w:rsidRDefault="00B1483F" w:rsidP="00D30BC1">
      <w:pPr>
        <w:rPr>
          <w:rFonts w:ascii="Arial" w:hAnsi="Arial" w:cs="Arial"/>
          <w:b/>
          <w:bCs/>
          <w:sz w:val="36"/>
          <w:szCs w:val="36"/>
        </w:rPr>
      </w:pPr>
      <w:bookmarkStart w:id="0" w:name="_GoBack"/>
      <w:bookmarkEnd w:id="0"/>
      <w:r>
        <w:rPr>
          <w:rFonts w:ascii="Arial" w:hAnsi="Arial" w:cs="Arial"/>
          <w:b/>
          <w:bCs/>
          <w:sz w:val="36"/>
          <w:szCs w:val="36"/>
        </w:rPr>
        <w:tab/>
      </w:r>
      <w:r>
        <w:rPr>
          <w:rFonts w:ascii="Arial" w:hAnsi="Arial" w:cs="Arial"/>
          <w:b/>
          <w:bCs/>
          <w:sz w:val="36"/>
          <w:szCs w:val="36"/>
        </w:rPr>
        <w:tab/>
      </w:r>
      <w:r>
        <w:rPr>
          <w:rFonts w:ascii="Arial" w:hAnsi="Arial" w:cs="Arial"/>
          <w:b/>
          <w:bCs/>
          <w:sz w:val="36"/>
          <w:szCs w:val="36"/>
        </w:rPr>
        <w:tab/>
        <w:t xml:space="preserve">     </w:t>
      </w:r>
    </w:p>
    <w:p w14:paraId="157F26BE" w14:textId="77777777" w:rsidR="00B1483F" w:rsidRDefault="00B1483F" w:rsidP="00D30BC1">
      <w:pPr>
        <w:rPr>
          <w:rFonts w:ascii="Arial" w:hAnsi="Arial" w:cs="Arial"/>
          <w:b/>
          <w:bCs/>
          <w:sz w:val="36"/>
          <w:szCs w:val="36"/>
        </w:rPr>
      </w:pPr>
    </w:p>
    <w:p w14:paraId="49FE15B3" w14:textId="77777777" w:rsidR="00B1483F" w:rsidRDefault="00B1483F" w:rsidP="00D30BC1">
      <w:pPr>
        <w:rPr>
          <w:rFonts w:ascii="Arial" w:hAnsi="Arial" w:cs="Arial"/>
          <w:b/>
          <w:bCs/>
          <w:sz w:val="36"/>
          <w:szCs w:val="36"/>
        </w:rPr>
      </w:pPr>
    </w:p>
    <w:p w14:paraId="3393433A" w14:textId="77777777" w:rsidR="00B1483F" w:rsidRPr="00D30BC1" w:rsidRDefault="003654B6" w:rsidP="00D30BC1">
      <w:pPr>
        <w:rPr>
          <w:rFonts w:ascii="Arial" w:hAnsi="Arial" w:cs="Arial"/>
          <w:b/>
          <w:bCs/>
          <w:sz w:val="36"/>
          <w:szCs w:val="36"/>
        </w:rPr>
      </w:pPr>
      <w:r w:rsidRPr="00D30BC1">
        <w:rPr>
          <w:rFonts w:ascii="Arial" w:hAnsi="Arial" w:cs="Arial"/>
          <w:b/>
          <w:bCs/>
          <w:noProof/>
          <w:sz w:val="20"/>
          <w:szCs w:val="36"/>
        </w:rPr>
        <w:drawing>
          <wp:anchor distT="0" distB="0" distL="114300" distR="114300" simplePos="0" relativeHeight="251657728" behindDoc="0" locked="0" layoutInCell="1" allowOverlap="1" wp14:anchorId="56BFFD4B" wp14:editId="1E650568">
            <wp:simplePos x="0" y="0"/>
            <wp:positionH relativeFrom="column">
              <wp:posOffset>-228600</wp:posOffset>
            </wp:positionH>
            <wp:positionV relativeFrom="paragraph">
              <wp:posOffset>125730</wp:posOffset>
            </wp:positionV>
            <wp:extent cx="1485900" cy="741045"/>
            <wp:effectExtent l="0" t="0" r="6985"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741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1483F" w:rsidRPr="00D30BC1">
        <w:rPr>
          <w:rFonts w:ascii="Arial" w:hAnsi="Arial" w:cs="Arial"/>
          <w:b/>
          <w:bCs/>
          <w:sz w:val="36"/>
          <w:szCs w:val="36"/>
        </w:rPr>
        <w:tab/>
      </w:r>
      <w:r w:rsidR="00B1483F" w:rsidRPr="00D30BC1">
        <w:rPr>
          <w:rFonts w:ascii="Arial" w:hAnsi="Arial" w:cs="Arial"/>
          <w:b/>
          <w:bCs/>
          <w:sz w:val="36"/>
          <w:szCs w:val="36"/>
        </w:rPr>
        <w:tab/>
      </w:r>
      <w:r w:rsidR="00B1483F" w:rsidRPr="00D30BC1">
        <w:rPr>
          <w:rFonts w:ascii="Arial" w:hAnsi="Arial" w:cs="Arial"/>
          <w:b/>
          <w:bCs/>
          <w:sz w:val="36"/>
          <w:szCs w:val="36"/>
        </w:rPr>
        <w:tab/>
        <w:t xml:space="preserve">      </w:t>
      </w:r>
      <w:bookmarkStart w:id="1" w:name="_MON_1216825018"/>
      <w:bookmarkEnd w:id="1"/>
      <w:bookmarkStart w:id="2" w:name="_MON_1216581939"/>
      <w:bookmarkEnd w:id="2"/>
      <w:r w:rsidR="00B1483F" w:rsidRPr="00D30BC1">
        <w:rPr>
          <w:rFonts w:ascii="Arial" w:hAnsi="Arial" w:cs="Arial"/>
          <w:b/>
          <w:bCs/>
          <w:sz w:val="36"/>
          <w:szCs w:val="36"/>
        </w:rPr>
        <w:object w:dxaOrig="1786" w:dyaOrig="1786" w14:anchorId="248D3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6pt;height:1in" o:ole="">
            <v:imagedata r:id="rId9" o:title="" croptop="16098f" cropbottom="40837f" cropleft="12309f" cropright="46388f"/>
          </v:shape>
          <o:OLEObject Type="Embed" ProgID="Word.Picture.8" ShapeID="_x0000_i1025" DrawAspect="Content" ObjectID="_1543311290" r:id="rId10"/>
        </w:object>
      </w:r>
      <w:r w:rsidR="00B1483F" w:rsidRPr="00D30BC1">
        <w:rPr>
          <w:rFonts w:ascii="Arial" w:hAnsi="Arial" w:cs="Arial"/>
          <w:b/>
          <w:bCs/>
          <w:sz w:val="36"/>
          <w:szCs w:val="36"/>
        </w:rPr>
        <w:tab/>
        <w:t xml:space="preserve">         </w:t>
      </w:r>
      <w:r w:rsidRPr="00D30BC1">
        <w:rPr>
          <w:rFonts w:ascii="Arial" w:hAnsi="Arial" w:cs="Arial"/>
          <w:b/>
          <w:bCs/>
          <w:noProof/>
          <w:sz w:val="36"/>
          <w:szCs w:val="36"/>
        </w:rPr>
        <w:drawing>
          <wp:inline distT="0" distB="0" distL="0" distR="0" wp14:anchorId="58233A62" wp14:editId="5A83AA6D">
            <wp:extent cx="914400" cy="819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54909" t="71834" r="35519" b="16101"/>
                    <a:stretch>
                      <a:fillRect/>
                    </a:stretch>
                  </pic:blipFill>
                  <pic:spPr bwMode="auto">
                    <a:xfrm>
                      <a:off x="0" y="0"/>
                      <a:ext cx="914400" cy="819150"/>
                    </a:xfrm>
                    <a:prstGeom prst="rect">
                      <a:avLst/>
                    </a:prstGeom>
                    <a:noFill/>
                    <a:ln>
                      <a:noFill/>
                    </a:ln>
                  </pic:spPr>
                </pic:pic>
              </a:graphicData>
            </a:graphic>
          </wp:inline>
        </w:drawing>
      </w:r>
      <w:r w:rsidR="00B1483F" w:rsidRPr="00D30BC1">
        <w:rPr>
          <w:rFonts w:ascii="Arial" w:hAnsi="Arial" w:cs="Arial"/>
          <w:b/>
          <w:bCs/>
          <w:sz w:val="20"/>
          <w:szCs w:val="36"/>
        </w:rPr>
        <w:t xml:space="preserve">  </w:t>
      </w:r>
      <w:r w:rsidR="00B1483F" w:rsidRPr="00D30BC1">
        <w:rPr>
          <w:rFonts w:ascii="Arial" w:hAnsi="Arial" w:cs="Arial"/>
          <w:b/>
          <w:bCs/>
          <w:sz w:val="36"/>
          <w:szCs w:val="36"/>
        </w:rPr>
        <w:t xml:space="preserve">    </w:t>
      </w:r>
      <w:r w:rsidRPr="00D30BC1">
        <w:rPr>
          <w:rFonts w:ascii="Arial" w:hAnsi="Arial" w:cs="Arial"/>
          <w:b/>
          <w:bCs/>
          <w:noProof/>
          <w:sz w:val="36"/>
          <w:szCs w:val="36"/>
        </w:rPr>
        <w:drawing>
          <wp:inline distT="0" distB="0" distL="0" distR="0" wp14:anchorId="082DF5DC" wp14:editId="663DBFBA">
            <wp:extent cx="923925" cy="847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l="18782" t="34698" r="49913" b="24820"/>
                    <a:stretch>
                      <a:fillRect/>
                    </a:stretch>
                  </pic:blipFill>
                  <pic:spPr bwMode="auto">
                    <a:xfrm>
                      <a:off x="0" y="0"/>
                      <a:ext cx="923925" cy="847725"/>
                    </a:xfrm>
                    <a:prstGeom prst="rect">
                      <a:avLst/>
                    </a:prstGeom>
                    <a:noFill/>
                    <a:ln>
                      <a:noFill/>
                    </a:ln>
                  </pic:spPr>
                </pic:pic>
              </a:graphicData>
            </a:graphic>
          </wp:inline>
        </w:drawing>
      </w:r>
    </w:p>
    <w:p w14:paraId="3386E1B0" w14:textId="77777777" w:rsidR="00B1483F" w:rsidRPr="00D30BC1" w:rsidRDefault="00B1483F" w:rsidP="00D30BC1">
      <w:pPr>
        <w:rPr>
          <w:rFonts w:ascii="Arial" w:hAnsi="Arial" w:cs="Arial"/>
          <w:b/>
          <w:bCs/>
          <w:sz w:val="36"/>
          <w:szCs w:val="36"/>
        </w:rPr>
      </w:pPr>
      <w:r w:rsidRPr="00D30BC1">
        <w:rPr>
          <w:rFonts w:ascii="Arial" w:hAnsi="Arial" w:cs="Arial"/>
          <w:b/>
          <w:bCs/>
          <w:sz w:val="20"/>
          <w:szCs w:val="36"/>
        </w:rPr>
        <w:tab/>
      </w:r>
      <w:r w:rsidRPr="00D30BC1">
        <w:rPr>
          <w:rFonts w:ascii="Arial" w:hAnsi="Arial" w:cs="Arial"/>
          <w:b/>
          <w:bCs/>
          <w:sz w:val="20"/>
          <w:szCs w:val="36"/>
        </w:rPr>
        <w:tab/>
      </w:r>
      <w:r w:rsidRPr="00D30BC1">
        <w:rPr>
          <w:rFonts w:ascii="Arial" w:hAnsi="Arial" w:cs="Arial"/>
          <w:b/>
          <w:bCs/>
          <w:sz w:val="20"/>
          <w:szCs w:val="36"/>
        </w:rPr>
        <w:tab/>
      </w:r>
      <w:r w:rsidRPr="00D30BC1">
        <w:rPr>
          <w:rFonts w:ascii="Arial" w:hAnsi="Arial" w:cs="Arial"/>
          <w:b/>
          <w:bCs/>
          <w:sz w:val="20"/>
          <w:szCs w:val="36"/>
        </w:rPr>
        <w:tab/>
      </w:r>
      <w:r w:rsidRPr="00D30BC1">
        <w:rPr>
          <w:rFonts w:ascii="Arial" w:hAnsi="Arial" w:cs="Arial"/>
          <w:b/>
          <w:bCs/>
          <w:sz w:val="20"/>
          <w:szCs w:val="36"/>
        </w:rPr>
        <w:tab/>
      </w:r>
      <w:r w:rsidRPr="00D30BC1">
        <w:rPr>
          <w:rFonts w:ascii="Arial" w:hAnsi="Arial" w:cs="Arial"/>
          <w:b/>
          <w:bCs/>
          <w:sz w:val="20"/>
          <w:szCs w:val="36"/>
        </w:rPr>
        <w:tab/>
        <w:t xml:space="preserve">       World Petroleum Council</w:t>
      </w:r>
    </w:p>
    <w:p w14:paraId="588CD9B4" w14:textId="77777777" w:rsidR="00B1483F" w:rsidRPr="00D30BC1" w:rsidRDefault="00B1483F" w:rsidP="00D30BC1">
      <w:pPr>
        <w:rPr>
          <w:rFonts w:ascii="Arial" w:hAnsi="Arial" w:cs="Arial"/>
          <w:b/>
          <w:bCs/>
          <w:sz w:val="36"/>
          <w:szCs w:val="36"/>
        </w:rPr>
      </w:pPr>
    </w:p>
    <w:p w14:paraId="2E88B425" w14:textId="77777777" w:rsidR="00B1483F" w:rsidRPr="00D30BC1" w:rsidRDefault="00B1483F" w:rsidP="00D30BC1">
      <w:pPr>
        <w:rPr>
          <w:rFonts w:ascii="Arial" w:hAnsi="Arial" w:cs="Arial"/>
          <w:b/>
          <w:bCs/>
          <w:sz w:val="20"/>
          <w:szCs w:val="36"/>
        </w:rPr>
      </w:pPr>
      <w:r w:rsidRPr="00D30BC1">
        <w:rPr>
          <w:rFonts w:ascii="Arial" w:hAnsi="Arial" w:cs="Arial"/>
          <w:b/>
          <w:bCs/>
          <w:sz w:val="36"/>
          <w:szCs w:val="36"/>
        </w:rPr>
        <w:tab/>
      </w:r>
      <w:r w:rsidRPr="00D30BC1">
        <w:rPr>
          <w:rFonts w:ascii="Arial" w:hAnsi="Arial" w:cs="Arial"/>
          <w:b/>
          <w:bCs/>
          <w:sz w:val="36"/>
          <w:szCs w:val="36"/>
        </w:rPr>
        <w:tab/>
      </w:r>
      <w:r w:rsidRPr="00D30BC1">
        <w:rPr>
          <w:rFonts w:ascii="Arial" w:hAnsi="Arial" w:cs="Arial"/>
          <w:b/>
          <w:bCs/>
          <w:sz w:val="36"/>
          <w:szCs w:val="36"/>
        </w:rPr>
        <w:tab/>
      </w:r>
      <w:r w:rsidRPr="00D30BC1">
        <w:rPr>
          <w:rFonts w:ascii="Arial" w:hAnsi="Arial" w:cs="Arial"/>
          <w:b/>
          <w:bCs/>
          <w:sz w:val="36"/>
          <w:szCs w:val="36"/>
        </w:rPr>
        <w:tab/>
      </w:r>
    </w:p>
    <w:p w14:paraId="4D73BC8B" w14:textId="77777777" w:rsidR="00B1483F" w:rsidRPr="00D30BC1" w:rsidRDefault="00B1483F" w:rsidP="00D30BC1">
      <w:pPr>
        <w:pStyle w:val="BodyText2"/>
        <w:rPr>
          <w:color w:val="auto"/>
        </w:rPr>
      </w:pPr>
    </w:p>
    <w:p w14:paraId="6C14F6D0" w14:textId="77777777" w:rsidR="00B1483F" w:rsidRPr="00D30BC1" w:rsidRDefault="00B1483F" w:rsidP="00D30BC1">
      <w:pPr>
        <w:pStyle w:val="BodyText2"/>
        <w:rPr>
          <w:color w:val="auto"/>
        </w:rPr>
      </w:pPr>
    </w:p>
    <w:p w14:paraId="7B4D6CFD" w14:textId="77777777" w:rsidR="00B1483F" w:rsidRPr="00D30BC1" w:rsidRDefault="00B1483F" w:rsidP="00D30BC1">
      <w:pPr>
        <w:pStyle w:val="BodyText2"/>
        <w:rPr>
          <w:color w:val="auto"/>
        </w:rPr>
      </w:pPr>
    </w:p>
    <w:p w14:paraId="645B279C" w14:textId="77777777" w:rsidR="00B1483F" w:rsidRPr="00D30BC1" w:rsidRDefault="00F20C38" w:rsidP="00D30BC1">
      <w:pPr>
        <w:pStyle w:val="BodyText2"/>
        <w:rPr>
          <w:color w:val="auto"/>
          <w:sz w:val="72"/>
          <w:szCs w:val="72"/>
        </w:rPr>
      </w:pPr>
      <w:r>
        <w:rPr>
          <w:color w:val="auto"/>
          <w:sz w:val="72"/>
          <w:szCs w:val="72"/>
        </w:rPr>
        <w:t>CO</w:t>
      </w:r>
      <w:r w:rsidRPr="00F20C38">
        <w:rPr>
          <w:color w:val="auto"/>
          <w:sz w:val="72"/>
          <w:szCs w:val="72"/>
          <w:vertAlign w:val="subscript"/>
        </w:rPr>
        <w:t>2</w:t>
      </w:r>
      <w:r>
        <w:rPr>
          <w:color w:val="auto"/>
          <w:sz w:val="72"/>
          <w:szCs w:val="72"/>
        </w:rPr>
        <w:t xml:space="preserve"> Storage</w:t>
      </w:r>
    </w:p>
    <w:p w14:paraId="180B75B3" w14:textId="77777777" w:rsidR="00B1483F" w:rsidRPr="00D30BC1" w:rsidRDefault="00B1483F" w:rsidP="00D30BC1">
      <w:pPr>
        <w:pStyle w:val="BodyText2"/>
        <w:rPr>
          <w:color w:val="auto"/>
          <w:sz w:val="72"/>
          <w:szCs w:val="72"/>
        </w:rPr>
      </w:pPr>
      <w:r w:rsidRPr="00D30BC1">
        <w:rPr>
          <w:color w:val="auto"/>
          <w:sz w:val="72"/>
          <w:szCs w:val="72"/>
        </w:rPr>
        <w:t xml:space="preserve"> Resources Management System</w:t>
      </w:r>
    </w:p>
    <w:p w14:paraId="0AAF0855" w14:textId="77777777" w:rsidR="00B1483F" w:rsidRPr="00D30BC1" w:rsidRDefault="00B1483F" w:rsidP="00D30BC1">
      <w:pPr>
        <w:pStyle w:val="BodyText2"/>
        <w:rPr>
          <w:color w:val="auto"/>
        </w:rPr>
      </w:pPr>
    </w:p>
    <w:p w14:paraId="77DF501C" w14:textId="77777777" w:rsidR="00B1483F" w:rsidRPr="00D30BC1" w:rsidRDefault="00B1483F" w:rsidP="00D30BC1">
      <w:pPr>
        <w:jc w:val="center"/>
        <w:rPr>
          <w:rFonts w:ascii="Arial" w:hAnsi="Arial" w:cs="Arial"/>
          <w:b/>
          <w:bCs/>
          <w:sz w:val="40"/>
          <w:szCs w:val="36"/>
        </w:rPr>
      </w:pPr>
    </w:p>
    <w:p w14:paraId="4D113AF5" w14:textId="77777777" w:rsidR="00B1483F" w:rsidRPr="00D30BC1" w:rsidRDefault="00B1483F" w:rsidP="00D30BC1">
      <w:pPr>
        <w:jc w:val="center"/>
        <w:rPr>
          <w:rFonts w:ascii="Arial" w:hAnsi="Arial" w:cs="Arial"/>
          <w:b/>
          <w:bCs/>
          <w:sz w:val="40"/>
          <w:szCs w:val="36"/>
        </w:rPr>
      </w:pPr>
    </w:p>
    <w:p w14:paraId="290F9B5A" w14:textId="77777777" w:rsidR="00B1483F" w:rsidRPr="00D30BC1" w:rsidRDefault="00B1483F" w:rsidP="00D30BC1">
      <w:pPr>
        <w:rPr>
          <w:sz w:val="40"/>
          <w:szCs w:val="40"/>
        </w:rPr>
      </w:pPr>
    </w:p>
    <w:p w14:paraId="56C79712" w14:textId="77777777" w:rsidR="00B1483F" w:rsidRPr="00D30BC1" w:rsidRDefault="00B1483F" w:rsidP="00D30BC1"/>
    <w:p w14:paraId="41FB8367" w14:textId="77777777" w:rsidR="00B1483F" w:rsidRPr="00D30BC1" w:rsidRDefault="00B1483F" w:rsidP="00D30BC1"/>
    <w:p w14:paraId="68ECD58A" w14:textId="77777777" w:rsidR="00B1483F" w:rsidRPr="00D30BC1" w:rsidRDefault="00B1483F" w:rsidP="00D30BC1"/>
    <w:p w14:paraId="60C90824" w14:textId="77777777" w:rsidR="00B1483F" w:rsidRPr="00D30BC1" w:rsidRDefault="00B1483F" w:rsidP="00D30BC1"/>
    <w:p w14:paraId="1B4A3455" w14:textId="77777777" w:rsidR="00B1483F" w:rsidRPr="00D30BC1" w:rsidRDefault="00B1483F" w:rsidP="00D30BC1">
      <w:pPr>
        <w:jc w:val="center"/>
        <w:rPr>
          <w:rFonts w:ascii="Arial" w:hAnsi="Arial" w:cs="Arial"/>
          <w:szCs w:val="36"/>
        </w:rPr>
      </w:pPr>
      <w:r w:rsidRPr="00D30BC1">
        <w:rPr>
          <w:rFonts w:ascii="Arial" w:hAnsi="Arial" w:cs="Arial"/>
        </w:rPr>
        <w:t>Sponsored</w:t>
      </w:r>
      <w:r w:rsidRPr="00D30BC1">
        <w:t xml:space="preserve"> </w:t>
      </w:r>
      <w:r w:rsidRPr="00D30BC1">
        <w:rPr>
          <w:rFonts w:ascii="Arial" w:hAnsi="Arial" w:cs="Arial"/>
          <w:szCs w:val="36"/>
        </w:rPr>
        <w:t>by:</w:t>
      </w:r>
    </w:p>
    <w:p w14:paraId="08C65FE6" w14:textId="77777777" w:rsidR="00B1483F" w:rsidRPr="00D30BC1" w:rsidRDefault="00B1483F" w:rsidP="00D30BC1">
      <w:pPr>
        <w:jc w:val="center"/>
        <w:rPr>
          <w:rFonts w:ascii="Arial" w:hAnsi="Arial" w:cs="Arial"/>
          <w:szCs w:val="36"/>
        </w:rPr>
      </w:pPr>
    </w:p>
    <w:p w14:paraId="3D59A4D1" w14:textId="77777777" w:rsidR="00B1483F" w:rsidRPr="00D30BC1" w:rsidRDefault="00B1483F" w:rsidP="00D30BC1">
      <w:pPr>
        <w:jc w:val="center"/>
        <w:rPr>
          <w:rFonts w:ascii="Arial" w:hAnsi="Arial" w:cs="Arial"/>
          <w:szCs w:val="36"/>
        </w:rPr>
      </w:pPr>
      <w:r w:rsidRPr="00D30BC1">
        <w:rPr>
          <w:rFonts w:ascii="Arial" w:hAnsi="Arial" w:cs="Arial"/>
          <w:szCs w:val="36"/>
        </w:rPr>
        <w:t>Society of Petroleum Engine</w:t>
      </w:r>
      <w:r w:rsidR="00744532">
        <w:rPr>
          <w:rFonts w:ascii="Arial" w:hAnsi="Arial" w:cs="Arial"/>
          <w:szCs w:val="36"/>
        </w:rPr>
        <w:t>ers (SPE)</w:t>
      </w:r>
    </w:p>
    <w:p w14:paraId="3314AA7C" w14:textId="77777777" w:rsidR="00643040" w:rsidRDefault="00643040" w:rsidP="00D30BC1">
      <w:pPr>
        <w:jc w:val="center"/>
        <w:rPr>
          <w:rFonts w:ascii="Arial" w:hAnsi="Arial" w:cs="Arial"/>
          <w:szCs w:val="36"/>
        </w:rPr>
      </w:pPr>
      <w:r w:rsidRPr="00D30BC1">
        <w:rPr>
          <w:rFonts w:ascii="Arial" w:hAnsi="Arial" w:cs="Arial"/>
          <w:szCs w:val="36"/>
        </w:rPr>
        <w:t>American Association</w:t>
      </w:r>
      <w:r>
        <w:rPr>
          <w:rFonts w:ascii="Arial" w:hAnsi="Arial" w:cs="Arial"/>
          <w:szCs w:val="36"/>
        </w:rPr>
        <w:t xml:space="preserve"> of Petroleum Geologists (AAPG)</w:t>
      </w:r>
    </w:p>
    <w:p w14:paraId="3ADD389B" w14:textId="77777777" w:rsidR="00B1483F" w:rsidRPr="00D30BC1" w:rsidRDefault="00643040" w:rsidP="00D30BC1">
      <w:pPr>
        <w:jc w:val="center"/>
        <w:rPr>
          <w:rFonts w:ascii="Arial" w:hAnsi="Arial" w:cs="Arial"/>
          <w:szCs w:val="36"/>
        </w:rPr>
      </w:pPr>
      <w:r>
        <w:rPr>
          <w:rFonts w:ascii="Arial" w:hAnsi="Arial" w:cs="Arial"/>
          <w:szCs w:val="36"/>
        </w:rPr>
        <w:t>World Petroleum Council (WPC)</w:t>
      </w:r>
    </w:p>
    <w:p w14:paraId="53D158D1" w14:textId="77777777" w:rsidR="00B1483F" w:rsidRPr="00D30BC1" w:rsidRDefault="00B1483F" w:rsidP="00D30BC1">
      <w:pPr>
        <w:jc w:val="center"/>
        <w:rPr>
          <w:rFonts w:ascii="Arial" w:hAnsi="Arial" w:cs="Arial"/>
          <w:szCs w:val="36"/>
        </w:rPr>
      </w:pPr>
      <w:r w:rsidRPr="00D30BC1">
        <w:rPr>
          <w:rFonts w:ascii="Arial" w:hAnsi="Arial" w:cs="Arial"/>
          <w:szCs w:val="36"/>
        </w:rPr>
        <w:t>Society of Petrol</w:t>
      </w:r>
      <w:r w:rsidR="00744532">
        <w:rPr>
          <w:rFonts w:ascii="Arial" w:hAnsi="Arial" w:cs="Arial"/>
          <w:szCs w:val="36"/>
        </w:rPr>
        <w:t>eum Evaluation Engineers (SPEE)</w:t>
      </w:r>
    </w:p>
    <w:p w14:paraId="214920D8" w14:textId="77777777" w:rsidR="00B1483F" w:rsidRPr="00D30BC1" w:rsidRDefault="00B1483F" w:rsidP="00D30BC1">
      <w:pPr>
        <w:jc w:val="center"/>
        <w:rPr>
          <w:rFonts w:ascii="Arial" w:hAnsi="Arial" w:cs="Arial"/>
          <w:b/>
          <w:bCs/>
          <w:szCs w:val="36"/>
        </w:rPr>
      </w:pPr>
    </w:p>
    <w:p w14:paraId="0D7DCCEC" w14:textId="77777777" w:rsidR="00BF46B4" w:rsidRPr="00D30BC1" w:rsidRDefault="00B1483F" w:rsidP="00D30BC1">
      <w:pPr>
        <w:pStyle w:val="Heading5"/>
        <w:rPr>
          <w:color w:val="auto"/>
          <w:sz w:val="24"/>
        </w:rPr>
      </w:pPr>
      <w:r w:rsidRPr="00D30BC1">
        <w:rPr>
          <w:color w:val="auto"/>
          <w:sz w:val="24"/>
        </w:rPr>
        <w:br w:type="page"/>
      </w:r>
      <w:r w:rsidR="00BF46B4" w:rsidRPr="00D30BC1">
        <w:rPr>
          <w:color w:val="auto"/>
          <w:sz w:val="24"/>
        </w:rPr>
        <w:lastRenderedPageBreak/>
        <w:t>Table of Contents</w:t>
      </w:r>
    </w:p>
    <w:p w14:paraId="2E2B3408" w14:textId="77777777" w:rsidR="00BF46B4" w:rsidRPr="00D30BC1" w:rsidRDefault="0011250B" w:rsidP="00D30BC1">
      <w:pPr>
        <w:tabs>
          <w:tab w:val="left" w:pos="7740"/>
        </w:tabs>
        <w:rPr>
          <w:rFonts w:ascii="Arial" w:hAnsi="Arial" w:cs="Arial"/>
          <w:b/>
          <w:bCs/>
          <w:sz w:val="20"/>
          <w:szCs w:val="20"/>
        </w:rPr>
      </w:pPr>
      <w:r w:rsidRPr="00D30BC1">
        <w:rPr>
          <w:rFonts w:ascii="Arial" w:hAnsi="Arial" w:cs="Arial"/>
          <w:b/>
          <w:bCs/>
          <w:sz w:val="20"/>
          <w:szCs w:val="20"/>
        </w:rPr>
        <w:tab/>
      </w:r>
      <w:r w:rsidR="00BF46B4" w:rsidRPr="00D30BC1">
        <w:rPr>
          <w:rFonts w:ascii="Arial" w:hAnsi="Arial" w:cs="Arial"/>
          <w:b/>
          <w:bCs/>
          <w:sz w:val="20"/>
          <w:szCs w:val="20"/>
        </w:rPr>
        <w:t>Page No.</w:t>
      </w:r>
    </w:p>
    <w:p w14:paraId="4A77D685" w14:textId="77777777" w:rsidR="00BF46B4" w:rsidRPr="00D30BC1" w:rsidRDefault="00BF46B4" w:rsidP="00D30BC1">
      <w:pPr>
        <w:pStyle w:val="Heading4"/>
        <w:tabs>
          <w:tab w:val="left" w:pos="8280"/>
        </w:tabs>
        <w:ind w:firstLine="720"/>
        <w:rPr>
          <w:color w:val="auto"/>
          <w:sz w:val="20"/>
          <w:szCs w:val="20"/>
        </w:rPr>
      </w:pPr>
      <w:r w:rsidRPr="00D30BC1">
        <w:rPr>
          <w:b/>
          <w:bCs/>
          <w:color w:val="auto"/>
          <w:sz w:val="20"/>
          <w:szCs w:val="20"/>
        </w:rPr>
        <w:t>Preamble</w:t>
      </w:r>
      <w:r w:rsidRPr="00D30BC1">
        <w:rPr>
          <w:color w:val="auto"/>
          <w:sz w:val="20"/>
          <w:szCs w:val="20"/>
        </w:rPr>
        <w:tab/>
      </w:r>
      <w:r w:rsidR="00B14C4F" w:rsidRPr="00D30BC1">
        <w:rPr>
          <w:b/>
          <w:bCs/>
          <w:color w:val="auto"/>
          <w:sz w:val="20"/>
          <w:szCs w:val="20"/>
        </w:rPr>
        <w:t>1</w:t>
      </w:r>
    </w:p>
    <w:p w14:paraId="726D8E52" w14:textId="77777777" w:rsidR="00BF46B4" w:rsidRPr="00D30BC1" w:rsidRDefault="00BF46B4" w:rsidP="00D30BC1">
      <w:pPr>
        <w:pStyle w:val="CommentText"/>
      </w:pPr>
    </w:p>
    <w:p w14:paraId="6FF9D01B" w14:textId="77777777" w:rsidR="00BF46B4" w:rsidRPr="00D30BC1" w:rsidRDefault="00BF46B4" w:rsidP="00D30BC1">
      <w:pPr>
        <w:pStyle w:val="Heading2"/>
        <w:numPr>
          <w:ilvl w:val="0"/>
          <w:numId w:val="5"/>
        </w:numPr>
        <w:tabs>
          <w:tab w:val="left" w:pos="8280"/>
        </w:tabs>
        <w:rPr>
          <w:sz w:val="20"/>
          <w:szCs w:val="20"/>
        </w:rPr>
      </w:pPr>
      <w:r w:rsidRPr="00D30BC1">
        <w:rPr>
          <w:sz w:val="20"/>
          <w:szCs w:val="20"/>
        </w:rPr>
        <w:t>Basic Principles and Definitions</w:t>
      </w:r>
      <w:r w:rsidR="005B0F74" w:rsidRPr="00D30BC1">
        <w:rPr>
          <w:sz w:val="20"/>
          <w:szCs w:val="20"/>
        </w:rPr>
        <w:tab/>
      </w:r>
      <w:r w:rsidR="00B14C4F" w:rsidRPr="00D30BC1">
        <w:rPr>
          <w:sz w:val="20"/>
          <w:szCs w:val="20"/>
        </w:rPr>
        <w:t>2</w:t>
      </w:r>
    </w:p>
    <w:p w14:paraId="5DB18070" w14:textId="630137A8" w:rsidR="00BF46B4" w:rsidRPr="00D30BC1" w:rsidRDefault="002A0434" w:rsidP="00D30BC1">
      <w:pPr>
        <w:tabs>
          <w:tab w:val="left" w:pos="1440"/>
          <w:tab w:val="left" w:pos="8280"/>
        </w:tabs>
        <w:ind w:left="720"/>
        <w:rPr>
          <w:rFonts w:ascii="Arial" w:hAnsi="Arial" w:cs="Arial"/>
          <w:b/>
          <w:bCs/>
          <w:sz w:val="20"/>
          <w:szCs w:val="20"/>
        </w:rPr>
      </w:pPr>
      <w:r w:rsidRPr="00D30BC1">
        <w:rPr>
          <w:rFonts w:ascii="Arial" w:hAnsi="Arial" w:cs="Arial"/>
          <w:b/>
          <w:bCs/>
          <w:sz w:val="20"/>
          <w:szCs w:val="20"/>
        </w:rPr>
        <w:t>1.1</w:t>
      </w:r>
      <w:r w:rsidRPr="00D30BC1">
        <w:rPr>
          <w:rFonts w:ascii="Arial" w:hAnsi="Arial" w:cs="Arial"/>
          <w:b/>
          <w:bCs/>
          <w:sz w:val="20"/>
          <w:szCs w:val="20"/>
        </w:rPr>
        <w:tab/>
      </w:r>
      <w:r w:rsidR="001E0235">
        <w:rPr>
          <w:rFonts w:ascii="Arial" w:hAnsi="Arial" w:cs="Arial"/>
          <w:b/>
          <w:bCs/>
          <w:sz w:val="20"/>
          <w:szCs w:val="20"/>
        </w:rPr>
        <w:t>Storage</w:t>
      </w:r>
      <w:r w:rsidR="00BF46B4" w:rsidRPr="00D30BC1">
        <w:rPr>
          <w:rFonts w:ascii="Arial" w:hAnsi="Arial" w:cs="Arial"/>
          <w:b/>
          <w:bCs/>
          <w:sz w:val="20"/>
          <w:szCs w:val="20"/>
        </w:rPr>
        <w:t xml:space="preserve"> Resources Classification Framework </w:t>
      </w:r>
      <w:r w:rsidRPr="00D30BC1">
        <w:rPr>
          <w:rFonts w:ascii="Arial" w:hAnsi="Arial" w:cs="Arial"/>
          <w:b/>
          <w:bCs/>
          <w:sz w:val="20"/>
          <w:szCs w:val="20"/>
        </w:rPr>
        <w:tab/>
      </w:r>
      <w:r w:rsidR="00B14C4F" w:rsidRPr="00D30BC1">
        <w:rPr>
          <w:rFonts w:ascii="Arial" w:hAnsi="Arial" w:cs="Arial"/>
          <w:b/>
          <w:bCs/>
          <w:sz w:val="20"/>
          <w:szCs w:val="20"/>
        </w:rPr>
        <w:t>2</w:t>
      </w:r>
    </w:p>
    <w:p w14:paraId="7D99206D" w14:textId="77777777" w:rsidR="00BF46B4" w:rsidRPr="00D30BC1" w:rsidRDefault="00D2274A" w:rsidP="00D30BC1">
      <w:pPr>
        <w:numPr>
          <w:ilvl w:val="1"/>
          <w:numId w:val="9"/>
        </w:numPr>
        <w:tabs>
          <w:tab w:val="left" w:pos="8280"/>
        </w:tabs>
        <w:rPr>
          <w:rFonts w:ascii="Arial" w:hAnsi="Arial" w:cs="Arial"/>
          <w:b/>
          <w:bCs/>
          <w:sz w:val="20"/>
          <w:szCs w:val="20"/>
        </w:rPr>
      </w:pPr>
      <w:r w:rsidRPr="00D30BC1">
        <w:rPr>
          <w:rFonts w:ascii="Arial" w:hAnsi="Arial" w:cs="Arial"/>
          <w:b/>
          <w:bCs/>
          <w:sz w:val="20"/>
          <w:szCs w:val="20"/>
        </w:rPr>
        <w:t>Project-B</w:t>
      </w:r>
      <w:r w:rsidR="00BF46B4" w:rsidRPr="00D30BC1">
        <w:rPr>
          <w:rFonts w:ascii="Arial" w:hAnsi="Arial" w:cs="Arial"/>
          <w:b/>
          <w:bCs/>
          <w:sz w:val="20"/>
          <w:szCs w:val="20"/>
        </w:rPr>
        <w:t>ased Resources Evaluations</w:t>
      </w:r>
      <w:r w:rsidR="00BF46B4" w:rsidRPr="00D30BC1">
        <w:rPr>
          <w:rFonts w:ascii="Arial" w:hAnsi="Arial" w:cs="Arial"/>
          <w:b/>
          <w:bCs/>
          <w:sz w:val="20"/>
          <w:szCs w:val="20"/>
        </w:rPr>
        <w:tab/>
      </w:r>
      <w:r w:rsidR="00B14C4F" w:rsidRPr="00D30BC1">
        <w:rPr>
          <w:rFonts w:ascii="Arial" w:hAnsi="Arial" w:cs="Arial"/>
          <w:b/>
          <w:bCs/>
          <w:sz w:val="20"/>
          <w:szCs w:val="20"/>
        </w:rPr>
        <w:t>4</w:t>
      </w:r>
    </w:p>
    <w:p w14:paraId="767DEA55" w14:textId="77777777" w:rsidR="00BF46B4" w:rsidRPr="00D30BC1" w:rsidRDefault="00BF46B4" w:rsidP="00D30BC1">
      <w:pPr>
        <w:tabs>
          <w:tab w:val="left" w:pos="8453"/>
        </w:tabs>
        <w:ind w:left="720"/>
        <w:rPr>
          <w:rFonts w:ascii="Arial" w:hAnsi="Arial" w:cs="Arial"/>
          <w:b/>
          <w:bCs/>
          <w:sz w:val="20"/>
          <w:szCs w:val="20"/>
        </w:rPr>
      </w:pPr>
    </w:p>
    <w:p w14:paraId="5793BF15" w14:textId="77777777" w:rsidR="00BF46B4" w:rsidRPr="00D30BC1" w:rsidRDefault="00BF46B4" w:rsidP="00D30BC1">
      <w:pPr>
        <w:numPr>
          <w:ilvl w:val="0"/>
          <w:numId w:val="5"/>
        </w:numPr>
        <w:tabs>
          <w:tab w:val="left" w:pos="8280"/>
        </w:tabs>
        <w:rPr>
          <w:rFonts w:ascii="Arial" w:hAnsi="Arial" w:cs="Arial"/>
          <w:b/>
          <w:bCs/>
          <w:sz w:val="20"/>
          <w:szCs w:val="20"/>
        </w:rPr>
      </w:pPr>
      <w:r w:rsidRPr="00D30BC1">
        <w:rPr>
          <w:rFonts w:ascii="Arial" w:hAnsi="Arial" w:cs="Arial"/>
          <w:b/>
          <w:bCs/>
          <w:sz w:val="20"/>
          <w:szCs w:val="20"/>
        </w:rPr>
        <w:t>Classification an</w:t>
      </w:r>
      <w:r w:rsidR="005B0F74" w:rsidRPr="00D30BC1">
        <w:rPr>
          <w:rFonts w:ascii="Arial" w:hAnsi="Arial" w:cs="Arial"/>
          <w:b/>
          <w:bCs/>
          <w:sz w:val="20"/>
          <w:szCs w:val="20"/>
        </w:rPr>
        <w:t>d Categorization Guidelines</w:t>
      </w:r>
      <w:r w:rsidR="005B0F74" w:rsidRPr="00D30BC1">
        <w:rPr>
          <w:rFonts w:ascii="Arial" w:hAnsi="Arial" w:cs="Arial"/>
          <w:b/>
          <w:bCs/>
          <w:sz w:val="20"/>
          <w:szCs w:val="20"/>
        </w:rPr>
        <w:tab/>
      </w:r>
      <w:r w:rsidR="00B14C4F" w:rsidRPr="00D30BC1">
        <w:rPr>
          <w:rFonts w:ascii="Arial" w:hAnsi="Arial" w:cs="Arial"/>
          <w:b/>
          <w:bCs/>
          <w:sz w:val="20"/>
          <w:szCs w:val="20"/>
        </w:rPr>
        <w:t>5</w:t>
      </w:r>
    </w:p>
    <w:p w14:paraId="5A165A60" w14:textId="77777777" w:rsidR="00BF46B4" w:rsidRPr="00D30BC1" w:rsidRDefault="00BF46B4" w:rsidP="00D30BC1">
      <w:pPr>
        <w:numPr>
          <w:ilvl w:val="1"/>
          <w:numId w:val="5"/>
        </w:numPr>
        <w:tabs>
          <w:tab w:val="left" w:pos="8280"/>
        </w:tabs>
        <w:rPr>
          <w:rFonts w:ascii="Arial" w:hAnsi="Arial" w:cs="Arial"/>
          <w:b/>
          <w:bCs/>
          <w:sz w:val="20"/>
          <w:szCs w:val="20"/>
        </w:rPr>
      </w:pPr>
      <w:r w:rsidRPr="00D30BC1">
        <w:rPr>
          <w:rFonts w:ascii="Arial" w:hAnsi="Arial" w:cs="Arial"/>
          <w:b/>
          <w:bCs/>
          <w:sz w:val="20"/>
          <w:szCs w:val="20"/>
        </w:rPr>
        <w:t>Resources Classification</w:t>
      </w:r>
      <w:r w:rsidR="002A0434" w:rsidRPr="00D30BC1">
        <w:rPr>
          <w:rFonts w:ascii="Arial" w:hAnsi="Arial" w:cs="Arial"/>
          <w:b/>
          <w:bCs/>
          <w:sz w:val="20"/>
          <w:szCs w:val="20"/>
        </w:rPr>
        <w:tab/>
      </w:r>
      <w:r w:rsidR="00B14C4F" w:rsidRPr="00D30BC1">
        <w:rPr>
          <w:rFonts w:ascii="Arial" w:hAnsi="Arial" w:cs="Arial"/>
          <w:b/>
          <w:bCs/>
          <w:sz w:val="20"/>
          <w:szCs w:val="20"/>
        </w:rPr>
        <w:t>6</w:t>
      </w:r>
    </w:p>
    <w:p w14:paraId="2695F53C" w14:textId="77777777" w:rsidR="00BF46B4" w:rsidRPr="00D30BC1" w:rsidRDefault="00BF46B4" w:rsidP="00D30BC1">
      <w:pPr>
        <w:numPr>
          <w:ilvl w:val="2"/>
          <w:numId w:val="5"/>
        </w:numPr>
        <w:tabs>
          <w:tab w:val="left" w:pos="8467"/>
        </w:tabs>
        <w:rPr>
          <w:rFonts w:ascii="Arial" w:hAnsi="Arial" w:cs="Arial"/>
          <w:sz w:val="20"/>
          <w:szCs w:val="20"/>
        </w:rPr>
      </w:pPr>
      <w:r w:rsidRPr="00D30BC1">
        <w:rPr>
          <w:rFonts w:ascii="Arial" w:hAnsi="Arial" w:cs="Arial"/>
          <w:sz w:val="20"/>
          <w:szCs w:val="20"/>
        </w:rPr>
        <w:t>Determination of Discovery</w:t>
      </w:r>
      <w:r w:rsidR="00D2274A" w:rsidRPr="00D30BC1">
        <w:rPr>
          <w:rFonts w:ascii="Arial" w:hAnsi="Arial" w:cs="Arial"/>
          <w:sz w:val="20"/>
          <w:szCs w:val="20"/>
        </w:rPr>
        <w:t xml:space="preserve"> </w:t>
      </w:r>
      <w:r w:rsidR="004B5941" w:rsidRPr="00D30BC1">
        <w:rPr>
          <w:rFonts w:ascii="Arial" w:hAnsi="Arial" w:cs="Arial"/>
          <w:sz w:val="20"/>
          <w:szCs w:val="20"/>
        </w:rPr>
        <w:t>Status</w:t>
      </w:r>
    </w:p>
    <w:p w14:paraId="61EDC8E6" w14:textId="77777777" w:rsidR="00BF46B4" w:rsidRPr="00D30BC1" w:rsidRDefault="00BF46B4" w:rsidP="00D30BC1">
      <w:pPr>
        <w:numPr>
          <w:ilvl w:val="2"/>
          <w:numId w:val="5"/>
        </w:numPr>
        <w:tabs>
          <w:tab w:val="left" w:pos="8467"/>
        </w:tabs>
        <w:rPr>
          <w:rFonts w:ascii="Arial" w:hAnsi="Arial" w:cs="Arial"/>
          <w:sz w:val="20"/>
          <w:szCs w:val="20"/>
        </w:rPr>
      </w:pPr>
      <w:r w:rsidRPr="00D30BC1">
        <w:rPr>
          <w:rFonts w:ascii="Arial" w:hAnsi="Arial" w:cs="Arial"/>
          <w:sz w:val="20"/>
          <w:szCs w:val="20"/>
        </w:rPr>
        <w:t>Determination of Commerciality</w:t>
      </w:r>
    </w:p>
    <w:p w14:paraId="7A41120B" w14:textId="77777777" w:rsidR="00BF46B4" w:rsidRPr="00D30BC1" w:rsidRDefault="00BF46B4" w:rsidP="00D30BC1">
      <w:pPr>
        <w:numPr>
          <w:ilvl w:val="2"/>
          <w:numId w:val="5"/>
        </w:numPr>
        <w:tabs>
          <w:tab w:val="left" w:pos="8467"/>
        </w:tabs>
        <w:rPr>
          <w:rFonts w:ascii="Arial" w:hAnsi="Arial" w:cs="Arial"/>
          <w:sz w:val="20"/>
          <w:szCs w:val="20"/>
        </w:rPr>
      </w:pPr>
      <w:r w:rsidRPr="00D30BC1">
        <w:rPr>
          <w:rFonts w:ascii="Arial" w:hAnsi="Arial" w:cs="Arial"/>
          <w:sz w:val="20"/>
          <w:szCs w:val="20"/>
        </w:rPr>
        <w:t>Project Status and Commercial Risk</w:t>
      </w:r>
    </w:p>
    <w:p w14:paraId="2D5E1ED1" w14:textId="77777777" w:rsidR="00BF46B4" w:rsidRPr="00D30BC1" w:rsidRDefault="008E0E55" w:rsidP="00D30BC1">
      <w:pPr>
        <w:numPr>
          <w:ilvl w:val="3"/>
          <w:numId w:val="5"/>
        </w:numPr>
        <w:tabs>
          <w:tab w:val="left" w:pos="8467"/>
        </w:tabs>
        <w:rPr>
          <w:rFonts w:ascii="Arial" w:hAnsi="Arial" w:cs="Arial"/>
          <w:sz w:val="20"/>
          <w:szCs w:val="20"/>
        </w:rPr>
      </w:pPr>
      <w:r w:rsidRPr="00D30BC1">
        <w:rPr>
          <w:rFonts w:ascii="Arial" w:hAnsi="Arial" w:cs="Arial"/>
          <w:sz w:val="20"/>
          <w:szCs w:val="20"/>
        </w:rPr>
        <w:t>Project Maturity Sub-C</w:t>
      </w:r>
      <w:r w:rsidR="00BF46B4" w:rsidRPr="00D30BC1">
        <w:rPr>
          <w:rFonts w:ascii="Arial" w:hAnsi="Arial" w:cs="Arial"/>
          <w:sz w:val="20"/>
          <w:szCs w:val="20"/>
        </w:rPr>
        <w:t>lasses</w:t>
      </w:r>
    </w:p>
    <w:p w14:paraId="0ED10448" w14:textId="1777D5B4" w:rsidR="00BF46B4" w:rsidRPr="00D30BC1" w:rsidRDefault="00D335D3" w:rsidP="00D30BC1">
      <w:pPr>
        <w:numPr>
          <w:ilvl w:val="3"/>
          <w:numId w:val="5"/>
        </w:numPr>
        <w:tabs>
          <w:tab w:val="left" w:pos="8467"/>
        </w:tabs>
        <w:rPr>
          <w:rFonts w:ascii="Arial" w:hAnsi="Arial" w:cs="Arial"/>
          <w:sz w:val="20"/>
          <w:szCs w:val="20"/>
        </w:rPr>
      </w:pPr>
      <w:r>
        <w:rPr>
          <w:rFonts w:ascii="Arial" w:hAnsi="Arial" w:cs="Arial"/>
          <w:sz w:val="20"/>
          <w:szCs w:val="20"/>
        </w:rPr>
        <w:t>Capacity</w:t>
      </w:r>
      <w:r w:rsidR="00BF46B4" w:rsidRPr="00D30BC1">
        <w:rPr>
          <w:rFonts w:ascii="Arial" w:hAnsi="Arial" w:cs="Arial"/>
          <w:sz w:val="20"/>
          <w:szCs w:val="20"/>
        </w:rPr>
        <w:t xml:space="preserve"> Status</w:t>
      </w:r>
    </w:p>
    <w:p w14:paraId="039DF528" w14:textId="77777777" w:rsidR="00BF46B4" w:rsidRPr="00D30BC1" w:rsidRDefault="00BF46B4" w:rsidP="00D30BC1">
      <w:pPr>
        <w:numPr>
          <w:ilvl w:val="3"/>
          <w:numId w:val="5"/>
        </w:numPr>
        <w:tabs>
          <w:tab w:val="left" w:pos="8467"/>
        </w:tabs>
        <w:rPr>
          <w:rFonts w:ascii="Arial" w:hAnsi="Arial" w:cs="Arial"/>
          <w:sz w:val="20"/>
          <w:szCs w:val="20"/>
        </w:rPr>
      </w:pPr>
      <w:r w:rsidRPr="00D30BC1">
        <w:rPr>
          <w:rFonts w:ascii="Arial" w:hAnsi="Arial" w:cs="Arial"/>
          <w:sz w:val="20"/>
          <w:szCs w:val="20"/>
        </w:rPr>
        <w:t>Economic Status</w:t>
      </w:r>
    </w:p>
    <w:p w14:paraId="5DD2BF72" w14:textId="77777777" w:rsidR="00BF46B4" w:rsidRPr="00D30BC1" w:rsidRDefault="00BF46B4" w:rsidP="00D30BC1">
      <w:pPr>
        <w:numPr>
          <w:ilvl w:val="1"/>
          <w:numId w:val="5"/>
        </w:numPr>
        <w:tabs>
          <w:tab w:val="left" w:pos="8280"/>
        </w:tabs>
        <w:rPr>
          <w:rFonts w:ascii="Arial" w:hAnsi="Arial" w:cs="Arial"/>
          <w:b/>
          <w:bCs/>
          <w:sz w:val="20"/>
          <w:szCs w:val="20"/>
        </w:rPr>
      </w:pPr>
      <w:r w:rsidRPr="00D30BC1">
        <w:rPr>
          <w:rFonts w:ascii="Arial" w:hAnsi="Arial" w:cs="Arial"/>
          <w:b/>
          <w:bCs/>
          <w:sz w:val="20"/>
          <w:szCs w:val="20"/>
        </w:rPr>
        <w:t>Resources Categorization</w:t>
      </w:r>
      <w:r w:rsidR="0011250B" w:rsidRPr="00D30BC1">
        <w:rPr>
          <w:rFonts w:ascii="Arial" w:hAnsi="Arial" w:cs="Arial"/>
          <w:b/>
          <w:bCs/>
          <w:sz w:val="20"/>
          <w:szCs w:val="20"/>
        </w:rPr>
        <w:tab/>
      </w:r>
      <w:r w:rsidR="00B14C4F" w:rsidRPr="00D30BC1">
        <w:rPr>
          <w:rFonts w:ascii="Arial" w:hAnsi="Arial" w:cs="Arial"/>
          <w:b/>
          <w:bCs/>
          <w:sz w:val="20"/>
          <w:szCs w:val="20"/>
        </w:rPr>
        <w:t>9</w:t>
      </w:r>
    </w:p>
    <w:p w14:paraId="79074FED" w14:textId="77777777" w:rsidR="00BF46B4" w:rsidRPr="00D30BC1" w:rsidRDefault="00BF46B4" w:rsidP="00D30BC1">
      <w:pPr>
        <w:numPr>
          <w:ilvl w:val="2"/>
          <w:numId w:val="5"/>
        </w:numPr>
        <w:tabs>
          <w:tab w:val="left" w:pos="8280"/>
          <w:tab w:val="left" w:pos="8467"/>
        </w:tabs>
        <w:rPr>
          <w:rFonts w:ascii="Arial" w:hAnsi="Arial" w:cs="Arial"/>
          <w:sz w:val="20"/>
          <w:szCs w:val="20"/>
        </w:rPr>
      </w:pPr>
      <w:r w:rsidRPr="00D30BC1">
        <w:rPr>
          <w:rFonts w:ascii="Arial" w:hAnsi="Arial" w:cs="Arial"/>
          <w:sz w:val="20"/>
          <w:szCs w:val="20"/>
        </w:rPr>
        <w:t>Range of Uncertainty</w:t>
      </w:r>
    </w:p>
    <w:p w14:paraId="28923D4C" w14:textId="77777777" w:rsidR="00BF46B4" w:rsidRPr="00D30BC1" w:rsidRDefault="00BF46B4" w:rsidP="00D30BC1">
      <w:pPr>
        <w:numPr>
          <w:ilvl w:val="2"/>
          <w:numId w:val="5"/>
        </w:numPr>
        <w:tabs>
          <w:tab w:val="left" w:pos="8280"/>
          <w:tab w:val="left" w:pos="8467"/>
        </w:tabs>
        <w:rPr>
          <w:rFonts w:ascii="Arial" w:hAnsi="Arial" w:cs="Arial"/>
          <w:sz w:val="20"/>
          <w:szCs w:val="20"/>
        </w:rPr>
      </w:pPr>
      <w:r w:rsidRPr="00D30BC1">
        <w:rPr>
          <w:rFonts w:ascii="Arial" w:hAnsi="Arial" w:cs="Arial"/>
          <w:sz w:val="20"/>
          <w:szCs w:val="20"/>
        </w:rPr>
        <w:t>Category Definitions and Guidelines</w:t>
      </w:r>
    </w:p>
    <w:p w14:paraId="0D464C60" w14:textId="77777777" w:rsidR="00BF46B4" w:rsidRPr="00D30BC1" w:rsidRDefault="00BF46B4" w:rsidP="00D30BC1">
      <w:pPr>
        <w:numPr>
          <w:ilvl w:val="1"/>
          <w:numId w:val="5"/>
        </w:numPr>
        <w:tabs>
          <w:tab w:val="left" w:pos="8280"/>
        </w:tabs>
        <w:rPr>
          <w:rFonts w:ascii="Arial" w:hAnsi="Arial" w:cs="Arial"/>
          <w:b/>
          <w:bCs/>
          <w:sz w:val="20"/>
          <w:szCs w:val="20"/>
        </w:rPr>
      </w:pPr>
      <w:r w:rsidRPr="00D30BC1">
        <w:rPr>
          <w:rFonts w:ascii="Arial" w:hAnsi="Arial" w:cs="Arial"/>
          <w:b/>
          <w:bCs/>
          <w:sz w:val="20"/>
          <w:szCs w:val="20"/>
        </w:rPr>
        <w:t>Incremental Projects</w:t>
      </w:r>
      <w:r w:rsidR="0011250B" w:rsidRPr="00D30BC1">
        <w:rPr>
          <w:rFonts w:ascii="Arial" w:hAnsi="Arial" w:cs="Arial"/>
          <w:b/>
          <w:bCs/>
          <w:sz w:val="20"/>
          <w:szCs w:val="20"/>
        </w:rPr>
        <w:tab/>
      </w:r>
      <w:r w:rsidR="00B14C4F" w:rsidRPr="00D30BC1">
        <w:rPr>
          <w:rFonts w:ascii="Arial" w:hAnsi="Arial" w:cs="Arial"/>
          <w:b/>
          <w:bCs/>
          <w:sz w:val="20"/>
          <w:szCs w:val="20"/>
        </w:rPr>
        <w:t>11</w:t>
      </w:r>
    </w:p>
    <w:p w14:paraId="3BECBC06" w14:textId="77777777" w:rsidR="00BF46B4" w:rsidRPr="00D30BC1" w:rsidRDefault="00BF46B4" w:rsidP="00D30BC1">
      <w:pPr>
        <w:tabs>
          <w:tab w:val="left" w:pos="8280"/>
          <w:tab w:val="left" w:pos="8467"/>
        </w:tabs>
        <w:ind w:left="720"/>
        <w:rPr>
          <w:rFonts w:ascii="Arial" w:hAnsi="Arial" w:cs="Arial"/>
          <w:b/>
          <w:bCs/>
          <w:sz w:val="20"/>
          <w:szCs w:val="20"/>
        </w:rPr>
      </w:pPr>
    </w:p>
    <w:p w14:paraId="03F5FD09" w14:textId="77777777" w:rsidR="00BF46B4" w:rsidRPr="00D30BC1" w:rsidRDefault="00BF46B4" w:rsidP="00D30BC1">
      <w:pPr>
        <w:numPr>
          <w:ilvl w:val="0"/>
          <w:numId w:val="5"/>
        </w:numPr>
        <w:tabs>
          <w:tab w:val="left" w:pos="8280"/>
        </w:tabs>
        <w:rPr>
          <w:rFonts w:ascii="Arial" w:hAnsi="Arial" w:cs="Arial"/>
          <w:b/>
          <w:bCs/>
          <w:sz w:val="20"/>
          <w:szCs w:val="20"/>
        </w:rPr>
      </w:pPr>
      <w:r w:rsidRPr="00D30BC1">
        <w:rPr>
          <w:rFonts w:ascii="Arial" w:hAnsi="Arial" w:cs="Arial"/>
          <w:b/>
          <w:bCs/>
          <w:sz w:val="20"/>
          <w:szCs w:val="20"/>
        </w:rPr>
        <w:t>Eval</w:t>
      </w:r>
      <w:r w:rsidR="005B0F74" w:rsidRPr="00D30BC1">
        <w:rPr>
          <w:rFonts w:ascii="Arial" w:hAnsi="Arial" w:cs="Arial"/>
          <w:b/>
          <w:bCs/>
          <w:sz w:val="20"/>
          <w:szCs w:val="20"/>
        </w:rPr>
        <w:t>uation and Reporting Guidelines</w:t>
      </w:r>
      <w:r w:rsidR="0011250B" w:rsidRPr="00D30BC1">
        <w:rPr>
          <w:rFonts w:ascii="Arial" w:hAnsi="Arial" w:cs="Arial"/>
          <w:b/>
          <w:bCs/>
          <w:sz w:val="20"/>
          <w:szCs w:val="20"/>
        </w:rPr>
        <w:tab/>
      </w:r>
      <w:r w:rsidR="00B14C4F" w:rsidRPr="00D30BC1">
        <w:rPr>
          <w:rFonts w:ascii="Arial" w:hAnsi="Arial" w:cs="Arial"/>
          <w:b/>
          <w:bCs/>
          <w:sz w:val="20"/>
          <w:szCs w:val="20"/>
        </w:rPr>
        <w:t>13</w:t>
      </w:r>
    </w:p>
    <w:p w14:paraId="0EF9075B" w14:textId="77777777" w:rsidR="00BF46B4" w:rsidRPr="00D30BC1" w:rsidRDefault="005B0F74" w:rsidP="00D30BC1">
      <w:pPr>
        <w:numPr>
          <w:ilvl w:val="1"/>
          <w:numId w:val="5"/>
        </w:numPr>
        <w:tabs>
          <w:tab w:val="left" w:pos="8280"/>
        </w:tabs>
        <w:rPr>
          <w:rFonts w:ascii="Arial" w:hAnsi="Arial" w:cs="Arial"/>
          <w:sz w:val="20"/>
          <w:szCs w:val="20"/>
        </w:rPr>
      </w:pPr>
      <w:r w:rsidRPr="00D30BC1">
        <w:rPr>
          <w:rFonts w:ascii="Arial" w:hAnsi="Arial" w:cs="Arial"/>
          <w:b/>
          <w:bCs/>
          <w:sz w:val="20"/>
          <w:szCs w:val="20"/>
        </w:rPr>
        <w:t>Commercial Evaluations</w:t>
      </w:r>
      <w:r w:rsidR="0011250B" w:rsidRPr="00D30BC1">
        <w:rPr>
          <w:rFonts w:ascii="Arial" w:hAnsi="Arial" w:cs="Arial"/>
          <w:b/>
          <w:bCs/>
          <w:sz w:val="20"/>
          <w:szCs w:val="20"/>
        </w:rPr>
        <w:tab/>
      </w:r>
      <w:r w:rsidR="00B14C4F" w:rsidRPr="00D30BC1">
        <w:rPr>
          <w:rFonts w:ascii="Arial" w:hAnsi="Arial" w:cs="Arial"/>
          <w:b/>
          <w:bCs/>
          <w:sz w:val="20"/>
          <w:szCs w:val="20"/>
        </w:rPr>
        <w:t>13</w:t>
      </w:r>
    </w:p>
    <w:p w14:paraId="029BF3AC" w14:textId="77777777" w:rsidR="00BF46B4" w:rsidRPr="00D30BC1" w:rsidRDefault="001D2E8C" w:rsidP="00D30BC1">
      <w:pPr>
        <w:numPr>
          <w:ilvl w:val="2"/>
          <w:numId w:val="5"/>
        </w:numPr>
        <w:tabs>
          <w:tab w:val="left" w:pos="8280"/>
        </w:tabs>
        <w:rPr>
          <w:rFonts w:ascii="Arial" w:hAnsi="Arial" w:cs="Arial"/>
          <w:sz w:val="20"/>
          <w:szCs w:val="20"/>
        </w:rPr>
      </w:pPr>
      <w:r w:rsidRPr="00D30BC1">
        <w:rPr>
          <w:rFonts w:ascii="Arial" w:hAnsi="Arial" w:cs="Arial"/>
          <w:sz w:val="20"/>
          <w:szCs w:val="20"/>
        </w:rPr>
        <w:t>Cash Flow-B</w:t>
      </w:r>
      <w:r w:rsidR="00BF46B4" w:rsidRPr="00D30BC1">
        <w:rPr>
          <w:rFonts w:ascii="Arial" w:hAnsi="Arial" w:cs="Arial"/>
          <w:sz w:val="20"/>
          <w:szCs w:val="20"/>
        </w:rPr>
        <w:t>ased Resources Evaluations</w:t>
      </w:r>
    </w:p>
    <w:p w14:paraId="33DFB725" w14:textId="77777777" w:rsidR="00BF46B4" w:rsidRPr="00D30BC1" w:rsidRDefault="00BF46B4" w:rsidP="00D30BC1">
      <w:pPr>
        <w:numPr>
          <w:ilvl w:val="2"/>
          <w:numId w:val="5"/>
        </w:numPr>
        <w:tabs>
          <w:tab w:val="left" w:pos="8280"/>
        </w:tabs>
        <w:rPr>
          <w:rFonts w:ascii="Arial" w:hAnsi="Arial" w:cs="Arial"/>
          <w:sz w:val="20"/>
          <w:szCs w:val="20"/>
        </w:rPr>
      </w:pPr>
      <w:r w:rsidRPr="00D30BC1">
        <w:rPr>
          <w:rFonts w:ascii="Arial" w:hAnsi="Arial" w:cs="Arial"/>
          <w:sz w:val="20"/>
          <w:szCs w:val="20"/>
        </w:rPr>
        <w:t>Economic C</w:t>
      </w:r>
      <w:r w:rsidR="001D2E8C" w:rsidRPr="00D30BC1">
        <w:rPr>
          <w:rFonts w:ascii="Arial" w:hAnsi="Arial" w:cs="Arial"/>
          <w:sz w:val="20"/>
          <w:szCs w:val="20"/>
        </w:rPr>
        <w:t>riteria</w:t>
      </w:r>
    </w:p>
    <w:p w14:paraId="2881DFFC" w14:textId="77777777" w:rsidR="00BF46B4" w:rsidRPr="00D30BC1" w:rsidRDefault="00BF46B4" w:rsidP="00D30BC1">
      <w:pPr>
        <w:numPr>
          <w:ilvl w:val="2"/>
          <w:numId w:val="5"/>
        </w:numPr>
        <w:rPr>
          <w:rFonts w:ascii="Arial" w:hAnsi="Arial" w:cs="Arial"/>
          <w:sz w:val="20"/>
          <w:szCs w:val="20"/>
        </w:rPr>
      </w:pPr>
      <w:r w:rsidRPr="00D30BC1">
        <w:rPr>
          <w:rFonts w:ascii="Arial" w:hAnsi="Arial" w:cs="Arial"/>
          <w:sz w:val="20"/>
          <w:szCs w:val="20"/>
        </w:rPr>
        <w:t>Economic Limit</w:t>
      </w:r>
      <w:r w:rsidRPr="00D30BC1">
        <w:rPr>
          <w:rFonts w:ascii="Arial" w:hAnsi="Arial" w:cs="Arial"/>
          <w:sz w:val="20"/>
          <w:szCs w:val="20"/>
        </w:rPr>
        <w:tab/>
      </w:r>
    </w:p>
    <w:p w14:paraId="197A935A" w14:textId="6ABFEFC7" w:rsidR="00BF46B4" w:rsidRPr="00D30BC1" w:rsidRDefault="001E0235" w:rsidP="00D30BC1">
      <w:pPr>
        <w:numPr>
          <w:ilvl w:val="1"/>
          <w:numId w:val="5"/>
        </w:numPr>
        <w:tabs>
          <w:tab w:val="left" w:pos="8280"/>
        </w:tabs>
        <w:rPr>
          <w:rFonts w:ascii="Arial" w:hAnsi="Arial" w:cs="Arial"/>
          <w:b/>
          <w:bCs/>
          <w:sz w:val="20"/>
          <w:szCs w:val="20"/>
        </w:rPr>
      </w:pPr>
      <w:r>
        <w:rPr>
          <w:rFonts w:ascii="Arial" w:hAnsi="Arial" w:cs="Arial"/>
          <w:b/>
          <w:bCs/>
          <w:sz w:val="20"/>
          <w:szCs w:val="20"/>
        </w:rPr>
        <w:t>Injection</w:t>
      </w:r>
      <w:r w:rsidR="002A0434" w:rsidRPr="00D30BC1">
        <w:rPr>
          <w:rFonts w:ascii="Arial" w:hAnsi="Arial" w:cs="Arial"/>
          <w:b/>
          <w:bCs/>
          <w:sz w:val="20"/>
          <w:szCs w:val="20"/>
        </w:rPr>
        <w:t xml:space="preserve"> Measurement</w:t>
      </w:r>
      <w:r w:rsidR="0011250B" w:rsidRPr="00D30BC1">
        <w:rPr>
          <w:rFonts w:ascii="Arial" w:hAnsi="Arial" w:cs="Arial"/>
          <w:b/>
          <w:bCs/>
          <w:sz w:val="20"/>
          <w:szCs w:val="20"/>
        </w:rPr>
        <w:tab/>
      </w:r>
      <w:r w:rsidR="00B14C4F" w:rsidRPr="00D30BC1">
        <w:rPr>
          <w:rFonts w:ascii="Arial" w:hAnsi="Arial" w:cs="Arial"/>
          <w:b/>
          <w:bCs/>
          <w:sz w:val="20"/>
          <w:szCs w:val="20"/>
        </w:rPr>
        <w:t>15</w:t>
      </w:r>
    </w:p>
    <w:p w14:paraId="0E739E25" w14:textId="77777777" w:rsidR="00BF46B4" w:rsidRPr="00D30BC1" w:rsidRDefault="00BF46B4" w:rsidP="00D30BC1">
      <w:pPr>
        <w:numPr>
          <w:ilvl w:val="2"/>
          <w:numId w:val="5"/>
        </w:numPr>
        <w:rPr>
          <w:rFonts w:ascii="Arial" w:hAnsi="Arial" w:cs="Arial"/>
          <w:sz w:val="20"/>
          <w:szCs w:val="20"/>
        </w:rPr>
      </w:pPr>
      <w:r w:rsidRPr="00D30BC1">
        <w:rPr>
          <w:rFonts w:ascii="Arial" w:hAnsi="Arial" w:cs="Arial"/>
          <w:sz w:val="20"/>
          <w:szCs w:val="20"/>
        </w:rPr>
        <w:t>Refe</w:t>
      </w:r>
      <w:r w:rsidR="002A0434" w:rsidRPr="00D30BC1">
        <w:rPr>
          <w:rFonts w:ascii="Arial" w:hAnsi="Arial" w:cs="Arial"/>
          <w:sz w:val="20"/>
          <w:szCs w:val="20"/>
        </w:rPr>
        <w:t>rence Point</w:t>
      </w:r>
    </w:p>
    <w:p w14:paraId="048698A2" w14:textId="58B1A5DE" w:rsidR="00BF46B4" w:rsidRPr="00D30BC1" w:rsidRDefault="00D335D3" w:rsidP="00D30BC1">
      <w:pPr>
        <w:numPr>
          <w:ilvl w:val="2"/>
          <w:numId w:val="5"/>
        </w:numPr>
        <w:rPr>
          <w:rFonts w:ascii="Arial" w:hAnsi="Arial" w:cs="Arial"/>
          <w:sz w:val="20"/>
          <w:szCs w:val="20"/>
        </w:rPr>
      </w:pPr>
      <w:r>
        <w:rPr>
          <w:rFonts w:ascii="Arial" w:hAnsi="Arial" w:cs="Arial"/>
          <w:sz w:val="20"/>
          <w:szCs w:val="20"/>
        </w:rPr>
        <w:t>Processing Losses</w:t>
      </w:r>
    </w:p>
    <w:p w14:paraId="505659FB" w14:textId="77777777" w:rsidR="00BF46B4" w:rsidRPr="00D30BC1" w:rsidRDefault="002A0434" w:rsidP="00D30BC1">
      <w:pPr>
        <w:numPr>
          <w:ilvl w:val="2"/>
          <w:numId w:val="5"/>
        </w:numPr>
        <w:rPr>
          <w:rFonts w:ascii="Arial" w:hAnsi="Arial" w:cs="Arial"/>
          <w:sz w:val="20"/>
          <w:szCs w:val="20"/>
        </w:rPr>
      </w:pPr>
      <w:r w:rsidRPr="00D30BC1">
        <w:rPr>
          <w:rFonts w:ascii="Arial" w:hAnsi="Arial" w:cs="Arial"/>
          <w:sz w:val="20"/>
          <w:szCs w:val="20"/>
        </w:rPr>
        <w:t>Production Balancing</w:t>
      </w:r>
    </w:p>
    <w:p w14:paraId="1BC6D9BD" w14:textId="77777777" w:rsidR="00BF46B4" w:rsidRPr="00D30BC1" w:rsidRDefault="00BF46B4" w:rsidP="00D30BC1">
      <w:pPr>
        <w:numPr>
          <w:ilvl w:val="1"/>
          <w:numId w:val="5"/>
        </w:numPr>
        <w:tabs>
          <w:tab w:val="left" w:pos="8280"/>
        </w:tabs>
        <w:rPr>
          <w:rFonts w:ascii="Arial" w:hAnsi="Arial" w:cs="Arial"/>
          <w:b/>
          <w:bCs/>
          <w:sz w:val="20"/>
          <w:szCs w:val="20"/>
        </w:rPr>
      </w:pPr>
      <w:r w:rsidRPr="00D30BC1">
        <w:rPr>
          <w:rFonts w:ascii="Arial" w:hAnsi="Arial" w:cs="Arial"/>
          <w:b/>
          <w:bCs/>
          <w:sz w:val="20"/>
          <w:szCs w:val="20"/>
        </w:rPr>
        <w:t>Resources En</w:t>
      </w:r>
      <w:r w:rsidR="002A0434" w:rsidRPr="00D30BC1">
        <w:rPr>
          <w:rFonts w:ascii="Arial" w:hAnsi="Arial" w:cs="Arial"/>
          <w:b/>
          <w:bCs/>
          <w:sz w:val="20"/>
          <w:szCs w:val="20"/>
        </w:rPr>
        <w:t>titlement and Recognition</w:t>
      </w:r>
      <w:r w:rsidR="0011250B" w:rsidRPr="00D30BC1">
        <w:rPr>
          <w:rFonts w:ascii="Arial" w:hAnsi="Arial" w:cs="Arial"/>
          <w:b/>
          <w:bCs/>
          <w:sz w:val="20"/>
          <w:szCs w:val="20"/>
        </w:rPr>
        <w:tab/>
      </w:r>
      <w:r w:rsidR="002A0434" w:rsidRPr="00D30BC1">
        <w:rPr>
          <w:rFonts w:ascii="Arial" w:hAnsi="Arial" w:cs="Arial"/>
          <w:b/>
          <w:bCs/>
          <w:sz w:val="20"/>
          <w:szCs w:val="20"/>
        </w:rPr>
        <w:t>1</w:t>
      </w:r>
      <w:r w:rsidR="00B14C4F" w:rsidRPr="00D30BC1">
        <w:rPr>
          <w:rFonts w:ascii="Arial" w:hAnsi="Arial" w:cs="Arial"/>
          <w:b/>
          <w:bCs/>
          <w:sz w:val="20"/>
          <w:szCs w:val="20"/>
        </w:rPr>
        <w:t>7</w:t>
      </w:r>
    </w:p>
    <w:p w14:paraId="369BDC30" w14:textId="77777777" w:rsidR="00BF46B4" w:rsidRPr="00D30BC1" w:rsidRDefault="002A0434" w:rsidP="00D30BC1">
      <w:pPr>
        <w:numPr>
          <w:ilvl w:val="2"/>
          <w:numId w:val="5"/>
        </w:numPr>
        <w:rPr>
          <w:rFonts w:ascii="Arial" w:hAnsi="Arial" w:cs="Arial"/>
          <w:sz w:val="20"/>
          <w:szCs w:val="20"/>
        </w:rPr>
      </w:pPr>
      <w:r w:rsidRPr="00D30BC1">
        <w:rPr>
          <w:rFonts w:ascii="Arial" w:hAnsi="Arial" w:cs="Arial"/>
          <w:sz w:val="20"/>
          <w:szCs w:val="20"/>
        </w:rPr>
        <w:t>Royalty</w:t>
      </w:r>
    </w:p>
    <w:p w14:paraId="145ADD94" w14:textId="5CC5E758" w:rsidR="00BF46B4" w:rsidRPr="00D30BC1" w:rsidRDefault="00D335D3" w:rsidP="00D30BC1">
      <w:pPr>
        <w:numPr>
          <w:ilvl w:val="2"/>
          <w:numId w:val="5"/>
        </w:numPr>
        <w:rPr>
          <w:rFonts w:ascii="Arial" w:hAnsi="Arial" w:cs="Arial"/>
          <w:sz w:val="20"/>
          <w:szCs w:val="20"/>
        </w:rPr>
      </w:pPr>
      <w:r>
        <w:rPr>
          <w:rFonts w:ascii="Arial" w:hAnsi="Arial" w:cs="Arial"/>
          <w:sz w:val="20"/>
          <w:szCs w:val="20"/>
        </w:rPr>
        <w:t>Injec</w:t>
      </w:r>
      <w:r w:rsidR="00BF46B4" w:rsidRPr="00D30BC1">
        <w:rPr>
          <w:rFonts w:ascii="Arial" w:hAnsi="Arial" w:cs="Arial"/>
          <w:sz w:val="20"/>
          <w:szCs w:val="20"/>
        </w:rPr>
        <w:t xml:space="preserve">tion-Sharing Contract </w:t>
      </w:r>
      <w:r w:rsidR="001E0235">
        <w:rPr>
          <w:rFonts w:ascii="Arial" w:hAnsi="Arial" w:cs="Arial"/>
          <w:sz w:val="20"/>
          <w:szCs w:val="20"/>
        </w:rPr>
        <w:t>Capacity</w:t>
      </w:r>
    </w:p>
    <w:p w14:paraId="7CF33CD2" w14:textId="77777777" w:rsidR="00BF46B4" w:rsidRPr="00D30BC1" w:rsidRDefault="00BF46B4" w:rsidP="00D30BC1">
      <w:pPr>
        <w:numPr>
          <w:ilvl w:val="2"/>
          <w:numId w:val="5"/>
        </w:numPr>
        <w:rPr>
          <w:rFonts w:ascii="Arial" w:hAnsi="Arial" w:cs="Arial"/>
          <w:sz w:val="20"/>
          <w:szCs w:val="20"/>
        </w:rPr>
      </w:pPr>
      <w:r w:rsidRPr="00D30BC1">
        <w:rPr>
          <w:rFonts w:ascii="Arial" w:hAnsi="Arial" w:cs="Arial"/>
          <w:sz w:val="20"/>
          <w:szCs w:val="20"/>
        </w:rPr>
        <w:t>Contract Extensions or Renewals</w:t>
      </w:r>
    </w:p>
    <w:p w14:paraId="1A713E20" w14:textId="77777777" w:rsidR="00BF46B4" w:rsidRPr="00D30BC1" w:rsidRDefault="00BF46B4" w:rsidP="00D30BC1">
      <w:pPr>
        <w:ind w:left="1440"/>
        <w:rPr>
          <w:rFonts w:ascii="Arial" w:hAnsi="Arial" w:cs="Arial"/>
          <w:sz w:val="20"/>
          <w:szCs w:val="20"/>
        </w:rPr>
      </w:pPr>
    </w:p>
    <w:p w14:paraId="05691297" w14:textId="365C1295" w:rsidR="00BF46B4" w:rsidRPr="00D30BC1" w:rsidRDefault="00BF46B4" w:rsidP="00D30BC1">
      <w:pPr>
        <w:numPr>
          <w:ilvl w:val="0"/>
          <w:numId w:val="5"/>
        </w:numPr>
        <w:tabs>
          <w:tab w:val="left" w:pos="8280"/>
        </w:tabs>
        <w:rPr>
          <w:rFonts w:ascii="Arial" w:hAnsi="Arial" w:cs="Arial"/>
          <w:b/>
          <w:bCs/>
          <w:sz w:val="20"/>
          <w:szCs w:val="20"/>
        </w:rPr>
      </w:pPr>
      <w:r w:rsidRPr="00D30BC1">
        <w:rPr>
          <w:rFonts w:ascii="Arial" w:hAnsi="Arial" w:cs="Arial"/>
          <w:b/>
          <w:bCs/>
          <w:sz w:val="20"/>
          <w:szCs w:val="20"/>
        </w:rPr>
        <w:t xml:space="preserve">Estimating </w:t>
      </w:r>
      <w:r w:rsidR="001E0235">
        <w:rPr>
          <w:rFonts w:ascii="Arial" w:hAnsi="Arial" w:cs="Arial"/>
          <w:b/>
          <w:bCs/>
          <w:sz w:val="20"/>
          <w:szCs w:val="20"/>
        </w:rPr>
        <w:t xml:space="preserve">Storable </w:t>
      </w:r>
      <w:r w:rsidRPr="00D30BC1">
        <w:rPr>
          <w:rFonts w:ascii="Arial" w:hAnsi="Arial" w:cs="Arial"/>
          <w:b/>
          <w:bCs/>
          <w:sz w:val="20"/>
          <w:szCs w:val="20"/>
        </w:rPr>
        <w:t>Quantities</w:t>
      </w:r>
      <w:r w:rsidR="00BF5AB9" w:rsidRPr="00D30BC1">
        <w:rPr>
          <w:rFonts w:ascii="Arial" w:hAnsi="Arial" w:cs="Arial"/>
          <w:b/>
          <w:bCs/>
          <w:sz w:val="20"/>
          <w:szCs w:val="20"/>
        </w:rPr>
        <w:tab/>
      </w:r>
      <w:r w:rsidR="00B14C4F" w:rsidRPr="00D30BC1">
        <w:rPr>
          <w:rFonts w:ascii="Arial" w:hAnsi="Arial" w:cs="Arial"/>
          <w:b/>
          <w:bCs/>
          <w:sz w:val="20"/>
          <w:szCs w:val="20"/>
        </w:rPr>
        <w:t>19</w:t>
      </w:r>
    </w:p>
    <w:p w14:paraId="2AFAF0D7" w14:textId="77777777" w:rsidR="00BF46B4" w:rsidRPr="00D30BC1" w:rsidRDefault="0011250B" w:rsidP="00D30BC1">
      <w:pPr>
        <w:numPr>
          <w:ilvl w:val="1"/>
          <w:numId w:val="5"/>
        </w:numPr>
        <w:tabs>
          <w:tab w:val="left" w:pos="8280"/>
        </w:tabs>
        <w:rPr>
          <w:rFonts w:ascii="Arial" w:hAnsi="Arial" w:cs="Arial"/>
          <w:b/>
          <w:bCs/>
          <w:sz w:val="20"/>
          <w:szCs w:val="20"/>
        </w:rPr>
      </w:pPr>
      <w:r w:rsidRPr="00D30BC1">
        <w:rPr>
          <w:rFonts w:ascii="Arial" w:hAnsi="Arial" w:cs="Arial"/>
          <w:b/>
          <w:bCs/>
          <w:sz w:val="20"/>
          <w:szCs w:val="20"/>
        </w:rPr>
        <w:t>Analytical Procedures</w:t>
      </w:r>
      <w:r w:rsidRPr="00D30BC1">
        <w:rPr>
          <w:rFonts w:ascii="Arial" w:hAnsi="Arial" w:cs="Arial"/>
          <w:b/>
          <w:bCs/>
          <w:sz w:val="20"/>
          <w:szCs w:val="20"/>
        </w:rPr>
        <w:tab/>
      </w:r>
      <w:r w:rsidR="00B14C4F" w:rsidRPr="00D30BC1">
        <w:rPr>
          <w:rFonts w:ascii="Arial" w:hAnsi="Arial" w:cs="Arial"/>
          <w:b/>
          <w:bCs/>
          <w:sz w:val="20"/>
          <w:szCs w:val="20"/>
        </w:rPr>
        <w:t>19</w:t>
      </w:r>
    </w:p>
    <w:p w14:paraId="77F6349B" w14:textId="77777777" w:rsidR="00BF46B4" w:rsidRPr="00D30BC1" w:rsidRDefault="00BF5AB9" w:rsidP="00D30BC1">
      <w:pPr>
        <w:tabs>
          <w:tab w:val="left" w:pos="2160"/>
          <w:tab w:val="left" w:pos="8280"/>
        </w:tabs>
        <w:ind w:left="1440"/>
        <w:rPr>
          <w:rFonts w:ascii="Arial" w:hAnsi="Arial" w:cs="Arial"/>
          <w:sz w:val="20"/>
          <w:szCs w:val="20"/>
        </w:rPr>
      </w:pPr>
      <w:r w:rsidRPr="00D30BC1">
        <w:rPr>
          <w:rFonts w:ascii="Arial" w:hAnsi="Arial" w:cs="Arial"/>
          <w:sz w:val="20"/>
          <w:szCs w:val="20"/>
        </w:rPr>
        <w:t>4.1.1</w:t>
      </w:r>
      <w:r w:rsidRPr="00D30BC1">
        <w:rPr>
          <w:rFonts w:ascii="Arial" w:hAnsi="Arial" w:cs="Arial"/>
          <w:sz w:val="20"/>
          <w:szCs w:val="20"/>
        </w:rPr>
        <w:tab/>
      </w:r>
      <w:r w:rsidR="00BF46B4" w:rsidRPr="00D30BC1">
        <w:rPr>
          <w:rFonts w:ascii="Arial" w:hAnsi="Arial" w:cs="Arial"/>
          <w:sz w:val="20"/>
          <w:szCs w:val="20"/>
        </w:rPr>
        <w:t>An</w:t>
      </w:r>
      <w:r w:rsidR="00B16467" w:rsidRPr="00D30BC1">
        <w:rPr>
          <w:rFonts w:ascii="Arial" w:hAnsi="Arial" w:cs="Arial"/>
          <w:sz w:val="20"/>
          <w:szCs w:val="20"/>
        </w:rPr>
        <w:t>alogs</w:t>
      </w:r>
    </w:p>
    <w:p w14:paraId="3B4D099B" w14:textId="77777777" w:rsidR="00BF46B4" w:rsidRPr="00D30BC1" w:rsidRDefault="00BF5AB9" w:rsidP="00D30BC1">
      <w:pPr>
        <w:tabs>
          <w:tab w:val="left" w:pos="2160"/>
          <w:tab w:val="left" w:pos="8280"/>
        </w:tabs>
        <w:ind w:left="1440"/>
        <w:rPr>
          <w:rFonts w:ascii="Arial" w:hAnsi="Arial" w:cs="Arial"/>
          <w:sz w:val="20"/>
          <w:szCs w:val="20"/>
        </w:rPr>
      </w:pPr>
      <w:r w:rsidRPr="00D30BC1">
        <w:rPr>
          <w:rFonts w:ascii="Arial" w:hAnsi="Arial" w:cs="Arial"/>
          <w:sz w:val="20"/>
          <w:szCs w:val="20"/>
        </w:rPr>
        <w:t>4.1.2</w:t>
      </w:r>
      <w:r w:rsidRPr="00D30BC1">
        <w:rPr>
          <w:rFonts w:ascii="Arial" w:hAnsi="Arial" w:cs="Arial"/>
          <w:sz w:val="20"/>
          <w:szCs w:val="20"/>
        </w:rPr>
        <w:tab/>
      </w:r>
      <w:r w:rsidR="00BF46B4" w:rsidRPr="00D30BC1">
        <w:rPr>
          <w:rFonts w:ascii="Arial" w:hAnsi="Arial" w:cs="Arial"/>
          <w:sz w:val="20"/>
          <w:szCs w:val="20"/>
        </w:rPr>
        <w:t>Volumetric Estimate</w:t>
      </w:r>
    </w:p>
    <w:p w14:paraId="15765D59" w14:textId="77777777" w:rsidR="00BF46B4" w:rsidRPr="00D30BC1" w:rsidRDefault="00BF46B4" w:rsidP="00D30BC1">
      <w:pPr>
        <w:tabs>
          <w:tab w:val="left" w:pos="2160"/>
          <w:tab w:val="left" w:pos="8280"/>
        </w:tabs>
        <w:ind w:left="1440"/>
        <w:rPr>
          <w:rFonts w:ascii="Arial" w:hAnsi="Arial" w:cs="Arial"/>
          <w:b/>
          <w:bCs/>
          <w:sz w:val="20"/>
          <w:szCs w:val="20"/>
        </w:rPr>
      </w:pPr>
      <w:r w:rsidRPr="00D30BC1">
        <w:rPr>
          <w:rFonts w:ascii="Arial" w:hAnsi="Arial" w:cs="Arial"/>
          <w:sz w:val="20"/>
          <w:szCs w:val="20"/>
        </w:rPr>
        <w:t>4.1.3</w:t>
      </w:r>
      <w:r w:rsidRPr="00D30BC1">
        <w:rPr>
          <w:rFonts w:ascii="Arial" w:hAnsi="Arial" w:cs="Arial"/>
          <w:sz w:val="20"/>
          <w:szCs w:val="20"/>
        </w:rPr>
        <w:tab/>
        <w:t>Material Balance</w:t>
      </w:r>
    </w:p>
    <w:p w14:paraId="78E7D13B" w14:textId="6FCEE933" w:rsidR="00BF46B4" w:rsidRPr="00D30BC1" w:rsidRDefault="001E0235" w:rsidP="00D30BC1">
      <w:pPr>
        <w:numPr>
          <w:ilvl w:val="2"/>
          <w:numId w:val="24"/>
        </w:numPr>
        <w:tabs>
          <w:tab w:val="left" w:pos="8280"/>
        </w:tabs>
        <w:rPr>
          <w:rFonts w:ascii="Arial" w:hAnsi="Arial" w:cs="Arial"/>
          <w:sz w:val="20"/>
          <w:szCs w:val="20"/>
        </w:rPr>
      </w:pPr>
      <w:r>
        <w:rPr>
          <w:rFonts w:ascii="Arial" w:hAnsi="Arial" w:cs="Arial"/>
          <w:sz w:val="20"/>
          <w:szCs w:val="20"/>
        </w:rPr>
        <w:t>Injection</w:t>
      </w:r>
      <w:r w:rsidR="00BF46B4" w:rsidRPr="00D30BC1">
        <w:rPr>
          <w:rFonts w:ascii="Arial" w:hAnsi="Arial" w:cs="Arial"/>
          <w:sz w:val="20"/>
          <w:szCs w:val="20"/>
        </w:rPr>
        <w:t xml:space="preserve"> Performance Analysis</w:t>
      </w:r>
    </w:p>
    <w:p w14:paraId="7052C396" w14:textId="77777777" w:rsidR="00BF46B4" w:rsidRPr="00D30BC1" w:rsidRDefault="00BF46B4" w:rsidP="00D30BC1">
      <w:pPr>
        <w:numPr>
          <w:ilvl w:val="1"/>
          <w:numId w:val="24"/>
        </w:numPr>
        <w:tabs>
          <w:tab w:val="left" w:pos="8280"/>
        </w:tabs>
        <w:rPr>
          <w:rFonts w:ascii="Arial" w:hAnsi="Arial" w:cs="Arial"/>
          <w:b/>
          <w:bCs/>
          <w:sz w:val="20"/>
          <w:szCs w:val="20"/>
        </w:rPr>
      </w:pPr>
      <w:r w:rsidRPr="00D30BC1">
        <w:rPr>
          <w:rFonts w:ascii="Arial" w:hAnsi="Arial" w:cs="Arial"/>
          <w:b/>
          <w:bCs/>
          <w:sz w:val="20"/>
          <w:szCs w:val="20"/>
        </w:rPr>
        <w:t>Deterministic and Probabilistic Methods</w:t>
      </w:r>
      <w:r w:rsidR="0011250B" w:rsidRPr="00D30BC1">
        <w:rPr>
          <w:rFonts w:ascii="Arial" w:hAnsi="Arial" w:cs="Arial"/>
          <w:b/>
          <w:bCs/>
          <w:sz w:val="20"/>
          <w:szCs w:val="20"/>
        </w:rPr>
        <w:tab/>
      </w:r>
      <w:r w:rsidRPr="00D30BC1">
        <w:rPr>
          <w:rFonts w:ascii="Arial" w:hAnsi="Arial" w:cs="Arial"/>
          <w:b/>
          <w:bCs/>
          <w:sz w:val="20"/>
          <w:szCs w:val="20"/>
        </w:rPr>
        <w:t>2</w:t>
      </w:r>
      <w:r w:rsidR="00B14C4F" w:rsidRPr="00D30BC1">
        <w:rPr>
          <w:rFonts w:ascii="Arial" w:hAnsi="Arial" w:cs="Arial"/>
          <w:b/>
          <w:bCs/>
          <w:sz w:val="20"/>
          <w:szCs w:val="20"/>
        </w:rPr>
        <w:t>1</w:t>
      </w:r>
    </w:p>
    <w:p w14:paraId="322634C6" w14:textId="77777777" w:rsidR="00BF46B4" w:rsidRPr="00D30BC1" w:rsidRDefault="00BF46B4" w:rsidP="00D30BC1">
      <w:pPr>
        <w:ind w:left="1440"/>
        <w:rPr>
          <w:rFonts w:ascii="Arial" w:hAnsi="Arial" w:cs="Arial"/>
          <w:sz w:val="20"/>
          <w:szCs w:val="20"/>
        </w:rPr>
      </w:pPr>
      <w:r w:rsidRPr="00D30BC1">
        <w:rPr>
          <w:rFonts w:ascii="Arial" w:hAnsi="Arial" w:cs="Arial"/>
          <w:sz w:val="20"/>
          <w:szCs w:val="20"/>
        </w:rPr>
        <w:t>4.2.1</w:t>
      </w:r>
      <w:r w:rsidRPr="00D30BC1">
        <w:rPr>
          <w:rFonts w:ascii="Arial" w:hAnsi="Arial" w:cs="Arial"/>
          <w:sz w:val="20"/>
          <w:szCs w:val="20"/>
        </w:rPr>
        <w:tab/>
        <w:t>Aggregation Methods</w:t>
      </w:r>
    </w:p>
    <w:p w14:paraId="7EC35D54" w14:textId="77777777" w:rsidR="00BF46B4" w:rsidRPr="00D30BC1" w:rsidRDefault="00BF46B4" w:rsidP="00D30BC1">
      <w:pPr>
        <w:ind w:left="1440" w:firstLine="720"/>
        <w:rPr>
          <w:rFonts w:ascii="Arial" w:hAnsi="Arial" w:cs="Arial"/>
          <w:sz w:val="20"/>
          <w:szCs w:val="20"/>
        </w:rPr>
      </w:pPr>
      <w:r w:rsidRPr="00D30BC1">
        <w:rPr>
          <w:rFonts w:ascii="Arial" w:hAnsi="Arial" w:cs="Arial"/>
          <w:sz w:val="20"/>
          <w:szCs w:val="20"/>
        </w:rPr>
        <w:t>4.2.1</w:t>
      </w:r>
      <w:r w:rsidR="00BF5AB9" w:rsidRPr="00D30BC1">
        <w:rPr>
          <w:rFonts w:ascii="Arial" w:hAnsi="Arial" w:cs="Arial"/>
          <w:sz w:val="20"/>
          <w:szCs w:val="20"/>
        </w:rPr>
        <w:t>.1</w:t>
      </w:r>
      <w:r w:rsidR="00BF5AB9" w:rsidRPr="00D30BC1">
        <w:rPr>
          <w:rFonts w:ascii="Arial" w:hAnsi="Arial" w:cs="Arial"/>
          <w:sz w:val="20"/>
          <w:szCs w:val="20"/>
        </w:rPr>
        <w:tab/>
        <w:t>Aggregating Resource</w:t>
      </w:r>
      <w:r w:rsidR="001E6F3C" w:rsidRPr="00D30BC1">
        <w:rPr>
          <w:rFonts w:ascii="Arial" w:hAnsi="Arial" w:cs="Arial"/>
          <w:sz w:val="20"/>
          <w:szCs w:val="20"/>
        </w:rPr>
        <w:t>s</w:t>
      </w:r>
      <w:r w:rsidR="00BF5AB9" w:rsidRPr="00D30BC1">
        <w:rPr>
          <w:rFonts w:ascii="Arial" w:hAnsi="Arial" w:cs="Arial"/>
          <w:sz w:val="20"/>
          <w:szCs w:val="20"/>
        </w:rPr>
        <w:t xml:space="preserve"> Classes</w:t>
      </w:r>
    </w:p>
    <w:p w14:paraId="27E051B5" w14:textId="77777777" w:rsidR="00BF46B4" w:rsidRPr="00D30BC1" w:rsidRDefault="00BF46B4" w:rsidP="00D30BC1">
      <w:pPr>
        <w:pStyle w:val="BalloonText"/>
        <w:rPr>
          <w:rFonts w:ascii="Arial" w:hAnsi="Arial" w:cs="Arial"/>
          <w:sz w:val="20"/>
          <w:szCs w:val="20"/>
        </w:rPr>
      </w:pPr>
    </w:p>
    <w:p w14:paraId="63AB5FB3" w14:textId="45425FA5" w:rsidR="00BF46B4" w:rsidRPr="00D30BC1" w:rsidRDefault="00BF46B4" w:rsidP="00D30BC1">
      <w:pPr>
        <w:tabs>
          <w:tab w:val="left" w:pos="8280"/>
        </w:tabs>
        <w:rPr>
          <w:rFonts w:ascii="Arial" w:hAnsi="Arial" w:cs="Arial"/>
          <w:sz w:val="20"/>
          <w:szCs w:val="20"/>
        </w:rPr>
      </w:pPr>
      <w:r w:rsidRPr="00D30BC1">
        <w:rPr>
          <w:rFonts w:ascii="Arial" w:hAnsi="Arial" w:cs="Arial"/>
          <w:sz w:val="20"/>
          <w:szCs w:val="20"/>
        </w:rPr>
        <w:t xml:space="preserve">Table </w:t>
      </w:r>
      <w:r w:rsidR="001E6F3C" w:rsidRPr="00D30BC1">
        <w:rPr>
          <w:rFonts w:ascii="Arial" w:hAnsi="Arial" w:cs="Arial"/>
          <w:sz w:val="20"/>
          <w:szCs w:val="20"/>
        </w:rPr>
        <w:t>1</w:t>
      </w:r>
      <w:r w:rsidRPr="00D30BC1">
        <w:rPr>
          <w:rFonts w:ascii="Arial" w:hAnsi="Arial" w:cs="Arial"/>
          <w:sz w:val="20"/>
          <w:szCs w:val="20"/>
        </w:rPr>
        <w:t xml:space="preserve">:  </w:t>
      </w:r>
      <w:r w:rsidR="001E0235">
        <w:rPr>
          <w:rFonts w:ascii="Arial" w:hAnsi="Arial" w:cs="Arial"/>
          <w:sz w:val="20"/>
          <w:szCs w:val="20"/>
        </w:rPr>
        <w:t>Storage</w:t>
      </w:r>
      <w:r w:rsidR="001E6F3C" w:rsidRPr="00D30BC1">
        <w:rPr>
          <w:rFonts w:ascii="Arial" w:hAnsi="Arial" w:cs="Arial"/>
          <w:sz w:val="20"/>
          <w:szCs w:val="20"/>
        </w:rPr>
        <w:t xml:space="preserve"> Resources Classes and Sub-C</w:t>
      </w:r>
      <w:r w:rsidRPr="00D30BC1">
        <w:rPr>
          <w:rFonts w:ascii="Arial" w:hAnsi="Arial" w:cs="Arial"/>
          <w:sz w:val="20"/>
          <w:szCs w:val="20"/>
        </w:rPr>
        <w:t>lasses</w:t>
      </w:r>
      <w:r w:rsidR="0011250B" w:rsidRPr="00D30BC1">
        <w:rPr>
          <w:rFonts w:ascii="Arial" w:hAnsi="Arial" w:cs="Arial"/>
          <w:sz w:val="20"/>
          <w:szCs w:val="20"/>
        </w:rPr>
        <w:tab/>
      </w:r>
      <w:r w:rsidRPr="00D30BC1">
        <w:rPr>
          <w:rFonts w:ascii="Arial" w:hAnsi="Arial" w:cs="Arial"/>
          <w:b/>
          <w:sz w:val="20"/>
          <w:szCs w:val="20"/>
        </w:rPr>
        <w:t>24</w:t>
      </w:r>
    </w:p>
    <w:p w14:paraId="408332CA" w14:textId="4C927775" w:rsidR="00BF46B4" w:rsidRPr="00D30BC1" w:rsidRDefault="001E6F3C" w:rsidP="00D30BC1">
      <w:pPr>
        <w:tabs>
          <w:tab w:val="left" w:pos="8280"/>
        </w:tabs>
        <w:rPr>
          <w:rFonts w:ascii="Arial" w:hAnsi="Arial" w:cs="Arial"/>
          <w:b/>
          <w:sz w:val="20"/>
          <w:szCs w:val="20"/>
        </w:rPr>
      </w:pPr>
      <w:r w:rsidRPr="00D30BC1">
        <w:rPr>
          <w:rFonts w:ascii="Arial" w:hAnsi="Arial" w:cs="Arial"/>
          <w:sz w:val="20"/>
          <w:szCs w:val="20"/>
        </w:rPr>
        <w:t>Table 2</w:t>
      </w:r>
      <w:r w:rsidR="001E0235">
        <w:rPr>
          <w:rFonts w:ascii="Arial" w:hAnsi="Arial" w:cs="Arial"/>
          <w:sz w:val="20"/>
          <w:szCs w:val="20"/>
        </w:rPr>
        <w:t>:  Capacity</w:t>
      </w:r>
      <w:r w:rsidR="00BF46B4" w:rsidRPr="00D30BC1">
        <w:rPr>
          <w:rFonts w:ascii="Arial" w:hAnsi="Arial" w:cs="Arial"/>
          <w:sz w:val="20"/>
          <w:szCs w:val="20"/>
        </w:rPr>
        <w:t xml:space="preserve"> Status Definitions and Guidelines</w:t>
      </w:r>
      <w:r w:rsidR="0011250B" w:rsidRPr="00D30BC1">
        <w:rPr>
          <w:rFonts w:ascii="Arial" w:hAnsi="Arial" w:cs="Arial"/>
          <w:sz w:val="20"/>
          <w:szCs w:val="20"/>
        </w:rPr>
        <w:tab/>
      </w:r>
      <w:r w:rsidR="00BF46B4" w:rsidRPr="00D30BC1">
        <w:rPr>
          <w:rFonts w:ascii="Arial" w:hAnsi="Arial" w:cs="Arial"/>
          <w:b/>
          <w:sz w:val="20"/>
          <w:szCs w:val="20"/>
        </w:rPr>
        <w:t>27</w:t>
      </w:r>
    </w:p>
    <w:p w14:paraId="04404448" w14:textId="31ECC250" w:rsidR="00BF46B4" w:rsidRPr="00D30BC1" w:rsidRDefault="001E6F3C" w:rsidP="00D30BC1">
      <w:pPr>
        <w:tabs>
          <w:tab w:val="left" w:pos="8280"/>
        </w:tabs>
        <w:rPr>
          <w:rFonts w:ascii="Arial" w:hAnsi="Arial" w:cs="Arial"/>
          <w:b/>
          <w:sz w:val="20"/>
          <w:szCs w:val="20"/>
        </w:rPr>
      </w:pPr>
      <w:r w:rsidRPr="00D30BC1">
        <w:rPr>
          <w:rFonts w:ascii="Arial" w:hAnsi="Arial" w:cs="Arial"/>
          <w:sz w:val="20"/>
          <w:szCs w:val="20"/>
        </w:rPr>
        <w:t>Table 3</w:t>
      </w:r>
      <w:r w:rsidR="001E0235">
        <w:rPr>
          <w:rFonts w:ascii="Arial" w:hAnsi="Arial" w:cs="Arial"/>
          <w:sz w:val="20"/>
          <w:szCs w:val="20"/>
        </w:rPr>
        <w:t>: Capacity</w:t>
      </w:r>
      <w:r w:rsidR="00BF46B4" w:rsidRPr="00D30BC1">
        <w:rPr>
          <w:rFonts w:ascii="Arial" w:hAnsi="Arial" w:cs="Arial"/>
          <w:sz w:val="20"/>
          <w:szCs w:val="20"/>
        </w:rPr>
        <w:t xml:space="preserve"> C</w:t>
      </w:r>
      <w:r w:rsidRPr="00D30BC1">
        <w:rPr>
          <w:rFonts w:ascii="Arial" w:hAnsi="Arial" w:cs="Arial"/>
          <w:sz w:val="20"/>
          <w:szCs w:val="20"/>
        </w:rPr>
        <w:t>ategory</w:t>
      </w:r>
      <w:r w:rsidR="00BF46B4" w:rsidRPr="00D30BC1">
        <w:rPr>
          <w:rFonts w:ascii="Arial" w:hAnsi="Arial" w:cs="Arial"/>
          <w:sz w:val="20"/>
          <w:szCs w:val="20"/>
        </w:rPr>
        <w:t xml:space="preserve"> Definitions and Guidelines</w:t>
      </w:r>
      <w:r w:rsidR="0011250B" w:rsidRPr="00D30BC1">
        <w:rPr>
          <w:rFonts w:ascii="Arial" w:hAnsi="Arial" w:cs="Arial"/>
          <w:sz w:val="20"/>
          <w:szCs w:val="20"/>
        </w:rPr>
        <w:tab/>
      </w:r>
      <w:r w:rsidR="00BF46B4" w:rsidRPr="00D30BC1">
        <w:rPr>
          <w:rFonts w:ascii="Arial" w:hAnsi="Arial" w:cs="Arial"/>
          <w:b/>
          <w:sz w:val="20"/>
          <w:szCs w:val="20"/>
        </w:rPr>
        <w:t>28</w:t>
      </w:r>
    </w:p>
    <w:p w14:paraId="308829EA" w14:textId="77777777" w:rsidR="00BF46B4" w:rsidRPr="00D30BC1" w:rsidRDefault="00BF46B4" w:rsidP="00D30BC1">
      <w:pPr>
        <w:tabs>
          <w:tab w:val="left" w:pos="8280"/>
        </w:tabs>
        <w:rPr>
          <w:rFonts w:ascii="Arial" w:hAnsi="Arial" w:cs="Arial"/>
          <w:b/>
          <w:bCs/>
          <w:sz w:val="20"/>
          <w:szCs w:val="20"/>
        </w:rPr>
      </w:pPr>
    </w:p>
    <w:p w14:paraId="72BCD2D7" w14:textId="77777777" w:rsidR="00BF46B4" w:rsidRPr="00D30BC1" w:rsidRDefault="00BF46B4" w:rsidP="00D30BC1">
      <w:pPr>
        <w:tabs>
          <w:tab w:val="left" w:pos="8280"/>
        </w:tabs>
        <w:rPr>
          <w:b/>
          <w:bCs/>
        </w:rPr>
      </w:pPr>
      <w:r w:rsidRPr="00D30BC1">
        <w:rPr>
          <w:rFonts w:ascii="Arial" w:hAnsi="Arial" w:cs="Arial"/>
          <w:b/>
          <w:bCs/>
          <w:sz w:val="20"/>
          <w:szCs w:val="20"/>
        </w:rPr>
        <w:t>Appendix A: Glossary of Term</w:t>
      </w:r>
      <w:r w:rsidR="00BF5AB9" w:rsidRPr="00D30BC1">
        <w:rPr>
          <w:rFonts w:ascii="Arial" w:hAnsi="Arial" w:cs="Arial"/>
          <w:b/>
          <w:bCs/>
          <w:sz w:val="20"/>
          <w:szCs w:val="20"/>
        </w:rPr>
        <w:t xml:space="preserve">s </w:t>
      </w:r>
      <w:r w:rsidR="0011250B" w:rsidRPr="00D30BC1">
        <w:rPr>
          <w:rFonts w:ascii="Arial" w:hAnsi="Arial" w:cs="Arial"/>
          <w:b/>
          <w:bCs/>
          <w:sz w:val="20"/>
          <w:szCs w:val="20"/>
        </w:rPr>
        <w:t>Used in Resources Evaluations</w:t>
      </w:r>
      <w:r w:rsidR="0011250B" w:rsidRPr="00D30BC1">
        <w:rPr>
          <w:rFonts w:ascii="Arial" w:hAnsi="Arial" w:cs="Arial"/>
          <w:b/>
          <w:bCs/>
          <w:sz w:val="20"/>
          <w:szCs w:val="20"/>
        </w:rPr>
        <w:tab/>
      </w:r>
      <w:r w:rsidRPr="00D30BC1">
        <w:rPr>
          <w:rFonts w:ascii="Arial" w:hAnsi="Arial" w:cs="Arial"/>
          <w:b/>
          <w:bCs/>
          <w:sz w:val="20"/>
          <w:szCs w:val="20"/>
        </w:rPr>
        <w:t>30</w:t>
      </w:r>
    </w:p>
    <w:p w14:paraId="50F18455" w14:textId="77777777" w:rsidR="00BF46B4" w:rsidRPr="00D30BC1" w:rsidRDefault="00BF46B4" w:rsidP="00D30BC1">
      <w:pPr>
        <w:rPr>
          <w:rFonts w:ascii="Arial" w:hAnsi="Arial" w:cs="Arial"/>
          <w:b/>
          <w:bCs/>
          <w:sz w:val="36"/>
          <w:szCs w:val="36"/>
        </w:rPr>
        <w:sectPr w:rsidR="00BF46B4" w:rsidRPr="00D30BC1" w:rsidSect="00CA68A4">
          <w:footerReference w:type="even" r:id="rId13"/>
          <w:footerReference w:type="default" r:id="rId14"/>
          <w:pgSz w:w="12240" w:h="15840" w:code="1"/>
          <w:pgMar w:top="720" w:right="1800" w:bottom="1440" w:left="1800" w:header="360" w:footer="0" w:gutter="0"/>
          <w:pgNumType w:start="2"/>
          <w:cols w:space="720"/>
          <w:titlePg/>
          <w:docGrid w:linePitch="360"/>
        </w:sectPr>
      </w:pPr>
    </w:p>
    <w:p w14:paraId="5C6E7F07" w14:textId="77777777" w:rsidR="00E77025" w:rsidRPr="00D30BC1" w:rsidRDefault="00BF46B4" w:rsidP="00D30BC1">
      <w:pPr>
        <w:rPr>
          <w:rFonts w:ascii="Arial" w:hAnsi="Arial" w:cs="Arial"/>
          <w:b/>
          <w:bCs/>
          <w:sz w:val="36"/>
          <w:szCs w:val="36"/>
        </w:rPr>
      </w:pPr>
      <w:r w:rsidRPr="00D30BC1">
        <w:rPr>
          <w:rFonts w:ascii="Arial" w:hAnsi="Arial" w:cs="Arial"/>
          <w:b/>
          <w:bCs/>
          <w:sz w:val="36"/>
          <w:szCs w:val="36"/>
        </w:rPr>
        <w:br w:type="page"/>
      </w:r>
      <w:r w:rsidR="00E77025">
        <w:rPr>
          <w:rFonts w:ascii="Arial" w:hAnsi="Arial" w:cs="Arial"/>
          <w:b/>
          <w:bCs/>
          <w:sz w:val="36"/>
          <w:szCs w:val="36"/>
        </w:rPr>
        <w:lastRenderedPageBreak/>
        <w:t>CO</w:t>
      </w:r>
      <w:r w:rsidR="00E77025" w:rsidRPr="00F20C38">
        <w:rPr>
          <w:rFonts w:ascii="Arial" w:hAnsi="Arial" w:cs="Arial"/>
          <w:b/>
          <w:bCs/>
          <w:sz w:val="36"/>
          <w:szCs w:val="36"/>
          <w:vertAlign w:val="subscript"/>
        </w:rPr>
        <w:t>2</w:t>
      </w:r>
      <w:r w:rsidR="00E77025">
        <w:rPr>
          <w:rFonts w:ascii="Arial" w:hAnsi="Arial" w:cs="Arial"/>
          <w:b/>
          <w:bCs/>
          <w:sz w:val="36"/>
          <w:szCs w:val="36"/>
        </w:rPr>
        <w:t xml:space="preserve"> Storage</w:t>
      </w:r>
      <w:r w:rsidR="00E77025" w:rsidRPr="00D30BC1">
        <w:rPr>
          <w:rFonts w:ascii="Arial" w:hAnsi="Arial" w:cs="Arial"/>
          <w:b/>
          <w:bCs/>
          <w:sz w:val="36"/>
          <w:szCs w:val="36"/>
        </w:rPr>
        <w:t xml:space="preserve"> Resources Management System</w:t>
      </w:r>
    </w:p>
    <w:p w14:paraId="160C1AB1" w14:textId="77777777" w:rsidR="00E77025" w:rsidRPr="00D30BC1" w:rsidRDefault="00E77025" w:rsidP="00D30BC1">
      <w:pPr>
        <w:pStyle w:val="NormalWeb"/>
        <w:rPr>
          <w:b/>
          <w:bCs/>
          <w:color w:val="auto"/>
          <w:sz w:val="24"/>
        </w:rPr>
      </w:pPr>
      <w:r w:rsidRPr="00D30BC1">
        <w:rPr>
          <w:b/>
          <w:bCs/>
          <w:color w:val="auto"/>
          <w:sz w:val="24"/>
        </w:rPr>
        <w:t>Preamble</w:t>
      </w:r>
    </w:p>
    <w:p w14:paraId="6968C866" w14:textId="77777777" w:rsidR="00E77025" w:rsidRPr="00D30BC1" w:rsidRDefault="00E77025" w:rsidP="00D30BC1">
      <w:pPr>
        <w:pStyle w:val="NormalWeb"/>
        <w:jc w:val="both"/>
      </w:pPr>
      <w:r>
        <w:t>CO</w:t>
      </w:r>
      <w:r w:rsidRPr="002F639D">
        <w:rPr>
          <w:vertAlign w:val="subscript"/>
        </w:rPr>
        <w:t>2</w:t>
      </w:r>
      <w:r>
        <w:t xml:space="preserve"> storage (or storage) </w:t>
      </w:r>
      <w:r w:rsidRPr="00D30BC1">
        <w:t xml:space="preserve">resources are the estimated quantities of </w:t>
      </w:r>
      <w:r>
        <w:t>pore volume in a geologic formation</w:t>
      </w:r>
      <w:r w:rsidRPr="00D30BC1">
        <w:t xml:space="preserve"> naturally occurring within the Earth</w:t>
      </w:r>
      <w:r w:rsidRPr="00D30BC1">
        <w:rPr>
          <w:rFonts w:ascii="Times New Roman" w:hAnsi="Times New Roman"/>
          <w:color w:val="auto"/>
          <w:sz w:val="18"/>
        </w:rPr>
        <w:t>’</w:t>
      </w:r>
      <w:r w:rsidRPr="00D30BC1">
        <w:t>s crust</w:t>
      </w:r>
      <w:r>
        <w:t xml:space="preserve"> that have the potential use for storage</w:t>
      </w:r>
      <w:r w:rsidRPr="00D30BC1">
        <w:t xml:space="preserve">. Resource assessments estimate total </w:t>
      </w:r>
      <w:r>
        <w:t xml:space="preserve">storage </w:t>
      </w:r>
      <w:r w:rsidRPr="00D30BC1">
        <w:t xml:space="preserve">quantities in known and yet-to-be-discovered </w:t>
      </w:r>
      <w:r>
        <w:t>(identified) geologic formations</w:t>
      </w:r>
      <w:r w:rsidRPr="00D30BC1">
        <w:t xml:space="preserve">; resource evaluations are focused on those quantities that can potentially </w:t>
      </w:r>
      <w:r>
        <w:t xml:space="preserve">be used for </w:t>
      </w:r>
      <w:r w:rsidR="000F699E">
        <w:t xml:space="preserve">commercial </w:t>
      </w:r>
      <w:r>
        <w:t>storage</w:t>
      </w:r>
      <w:r w:rsidRPr="00D30BC1">
        <w:t xml:space="preserve">s. </w:t>
      </w:r>
      <w:r w:rsidRPr="00F7722C">
        <w:rPr>
          <w:color w:val="auto"/>
        </w:rPr>
        <w:t xml:space="preserve">A </w:t>
      </w:r>
      <w:r>
        <w:rPr>
          <w:color w:val="auto"/>
        </w:rPr>
        <w:t>storage</w:t>
      </w:r>
      <w:r w:rsidRPr="00F7722C">
        <w:rPr>
          <w:color w:val="auto"/>
        </w:rPr>
        <w:t xml:space="preserve"> resources management system</w:t>
      </w:r>
      <w:r w:rsidRPr="00F7722C">
        <w:t xml:space="preserve"> provides a consistent approach to estimating </w:t>
      </w:r>
      <w:r>
        <w:t>storage</w:t>
      </w:r>
      <w:r w:rsidRPr="00F7722C">
        <w:t xml:space="preserve"> quantities, evaluating development projects, and presenting results within a co</w:t>
      </w:r>
      <w:r w:rsidRPr="00D30BC1">
        <w:t>mprehensive classification framework.</w:t>
      </w:r>
    </w:p>
    <w:p w14:paraId="73DCD18F" w14:textId="77777777" w:rsidR="00E77025" w:rsidRPr="003747AE" w:rsidRDefault="00E77025" w:rsidP="001642F3">
      <w:pPr>
        <w:jc w:val="both"/>
        <w:rPr>
          <w:rFonts w:ascii="Arial" w:hAnsi="Arial" w:cs="Arial"/>
          <w:sz w:val="20"/>
          <w:szCs w:val="20"/>
        </w:rPr>
      </w:pPr>
      <w:r w:rsidRPr="003747AE">
        <w:rPr>
          <w:rFonts w:ascii="Arial" w:hAnsi="Arial" w:cs="Arial"/>
          <w:sz w:val="20"/>
          <w:szCs w:val="20"/>
        </w:rPr>
        <w:t>It has been recognized for several years that quantitative estimates of CO</w:t>
      </w:r>
      <w:r w:rsidRPr="002F639D">
        <w:rPr>
          <w:rFonts w:ascii="Arial" w:hAnsi="Arial" w:cs="Arial"/>
          <w:sz w:val="20"/>
          <w:szCs w:val="20"/>
          <w:vertAlign w:val="subscript"/>
        </w:rPr>
        <w:t>2</w:t>
      </w:r>
      <w:r w:rsidRPr="003747AE">
        <w:rPr>
          <w:rFonts w:ascii="Arial" w:hAnsi="Arial" w:cs="Arial"/>
          <w:sz w:val="20"/>
          <w:szCs w:val="20"/>
        </w:rPr>
        <w:t xml:space="preserve"> storage need to be better described in terms of data availability and certainty of the estimate as well as the status of a related injection project. </w:t>
      </w:r>
    </w:p>
    <w:p w14:paraId="7960595A" w14:textId="77777777" w:rsidR="00E77025" w:rsidRDefault="00E77025" w:rsidP="00335306">
      <w:pPr>
        <w:rPr>
          <w:rFonts w:ascii="Arial" w:hAnsi="Arial" w:cs="Arial"/>
          <w:sz w:val="20"/>
        </w:rPr>
      </w:pPr>
    </w:p>
    <w:p w14:paraId="0050BC06" w14:textId="77777777" w:rsidR="00E77025" w:rsidRPr="00DA5B6D" w:rsidRDefault="00E77025" w:rsidP="001642F3">
      <w:pPr>
        <w:jc w:val="both"/>
        <w:rPr>
          <w:rFonts w:ascii="Arial" w:hAnsi="Arial" w:cs="Arial"/>
          <w:sz w:val="20"/>
          <w:szCs w:val="20"/>
        </w:rPr>
      </w:pPr>
      <w:r w:rsidRPr="00DA5B6D">
        <w:rPr>
          <w:rFonts w:ascii="Arial" w:hAnsi="Arial" w:cs="Arial"/>
          <w:sz w:val="20"/>
          <w:szCs w:val="20"/>
        </w:rPr>
        <w:t xml:space="preserve">Over the past decade a number </w:t>
      </w:r>
      <w:r>
        <w:rPr>
          <w:rFonts w:ascii="Arial" w:hAnsi="Arial" w:cs="Arial"/>
          <w:sz w:val="20"/>
          <w:szCs w:val="20"/>
        </w:rPr>
        <w:t xml:space="preserve">of </w:t>
      </w:r>
      <w:r w:rsidRPr="00DA5B6D">
        <w:rPr>
          <w:rFonts w:ascii="Arial" w:hAnsi="Arial" w:cs="Arial"/>
          <w:sz w:val="20"/>
          <w:szCs w:val="20"/>
        </w:rPr>
        <w:t xml:space="preserve">methods to </w:t>
      </w:r>
      <w:r>
        <w:rPr>
          <w:rFonts w:ascii="Arial" w:hAnsi="Arial" w:cs="Arial"/>
          <w:sz w:val="20"/>
          <w:szCs w:val="20"/>
        </w:rPr>
        <w:t xml:space="preserve">describe and systematically estimate </w:t>
      </w:r>
      <w:r w:rsidRPr="00DA5B6D">
        <w:rPr>
          <w:rFonts w:ascii="Arial" w:hAnsi="Arial" w:cs="Arial"/>
          <w:sz w:val="20"/>
          <w:szCs w:val="20"/>
        </w:rPr>
        <w:t>storage resource</w:t>
      </w:r>
      <w:r>
        <w:rPr>
          <w:rFonts w:ascii="Arial" w:hAnsi="Arial" w:cs="Arial"/>
          <w:sz w:val="20"/>
          <w:szCs w:val="20"/>
        </w:rPr>
        <w:t>s</w:t>
      </w:r>
      <w:r w:rsidRPr="00DA5B6D">
        <w:rPr>
          <w:rFonts w:ascii="Arial" w:hAnsi="Arial" w:cs="Arial"/>
          <w:sz w:val="20"/>
          <w:szCs w:val="20"/>
        </w:rPr>
        <w:t xml:space="preserve"> have been proposed by authors around the world</w:t>
      </w:r>
      <w:r>
        <w:rPr>
          <w:rFonts w:ascii="Arial" w:hAnsi="Arial" w:cs="Arial"/>
          <w:sz w:val="20"/>
          <w:szCs w:val="20"/>
        </w:rPr>
        <w:t>;</w:t>
      </w:r>
      <w:r w:rsidRPr="00DA5B6D">
        <w:rPr>
          <w:rFonts w:ascii="Arial" w:hAnsi="Arial" w:cs="Arial"/>
          <w:sz w:val="20"/>
          <w:szCs w:val="20"/>
        </w:rPr>
        <w:t xml:space="preserve"> however, none of these have gained global acceptance. A summary of proposed classification systems was presented in 2014 by Liu et.al [International Journal of Greenhouse Gas Control 22 (2014) 244–255, Modified classification system for estimating the CO</w:t>
      </w:r>
      <w:r w:rsidRPr="00DA5B6D">
        <w:rPr>
          <w:rFonts w:ascii="Arial" w:hAnsi="Arial" w:cs="Arial"/>
          <w:sz w:val="20"/>
          <w:szCs w:val="20"/>
          <w:vertAlign w:val="subscript"/>
        </w:rPr>
        <w:t>2</w:t>
      </w:r>
      <w:r w:rsidRPr="00DA5B6D">
        <w:rPr>
          <w:rFonts w:ascii="Arial" w:hAnsi="Arial" w:cs="Arial"/>
          <w:sz w:val="20"/>
          <w:szCs w:val="20"/>
        </w:rPr>
        <w:t xml:space="preserve"> storage capacity of saline formations].</w:t>
      </w:r>
    </w:p>
    <w:p w14:paraId="3449DC11" w14:textId="77777777" w:rsidR="00E77025" w:rsidRPr="004B7137" w:rsidRDefault="00E77025" w:rsidP="00A35158">
      <w:pPr>
        <w:pStyle w:val="Els-body-text"/>
        <w:rPr>
          <w:rFonts w:ascii="Arial" w:hAnsi="Arial" w:cs="Arial"/>
        </w:rPr>
      </w:pPr>
    </w:p>
    <w:p w14:paraId="108C4043" w14:textId="77777777" w:rsidR="00E77025" w:rsidRDefault="00E77025" w:rsidP="004B7137">
      <w:pPr>
        <w:pStyle w:val="Els-body-text"/>
        <w:ind w:firstLine="0"/>
        <w:rPr>
          <w:rFonts w:ascii="Arial" w:hAnsi="Arial" w:cs="Arial"/>
        </w:rPr>
      </w:pPr>
      <w:r w:rsidRPr="004B7137">
        <w:rPr>
          <w:rFonts w:ascii="Arial" w:hAnsi="Arial" w:cs="Arial"/>
        </w:rPr>
        <w:t xml:space="preserve">A number of authors and institutes have recommended systems based on the SPE </w:t>
      </w:r>
      <w:r>
        <w:rPr>
          <w:rFonts w:ascii="Arial" w:hAnsi="Arial" w:cs="Arial"/>
        </w:rPr>
        <w:t>Petroleum Resources Management System (SPE-</w:t>
      </w:r>
      <w:r w:rsidRPr="004B7137">
        <w:rPr>
          <w:rFonts w:ascii="Arial" w:hAnsi="Arial" w:cs="Arial"/>
        </w:rPr>
        <w:t>PRMS</w:t>
      </w:r>
      <w:r>
        <w:rPr>
          <w:rFonts w:ascii="Arial" w:hAnsi="Arial" w:cs="Arial"/>
        </w:rPr>
        <w:t>)</w:t>
      </w:r>
      <w:r w:rsidRPr="004B7137">
        <w:rPr>
          <w:rFonts w:ascii="Arial" w:hAnsi="Arial" w:cs="Arial"/>
        </w:rPr>
        <w:t>. These include the CO2CRC (Kaldi &amp; Gibson-Poole</w:t>
      </w:r>
      <w:r>
        <w:rPr>
          <w:rFonts w:ascii="Arial" w:hAnsi="Arial" w:cs="Arial"/>
        </w:rPr>
        <w:t>, 2008</w:t>
      </w:r>
      <w:r w:rsidRPr="004B7137">
        <w:rPr>
          <w:rFonts w:ascii="Arial" w:hAnsi="Arial" w:cs="Arial"/>
        </w:rPr>
        <w:t>), IEAGHG (Gorecki et.al</w:t>
      </w:r>
      <w:r>
        <w:rPr>
          <w:rFonts w:ascii="Arial" w:hAnsi="Arial" w:cs="Arial"/>
        </w:rPr>
        <w:t>, 2009</w:t>
      </w:r>
      <w:r w:rsidRPr="004B7137">
        <w:rPr>
          <w:rFonts w:ascii="Arial" w:hAnsi="Arial" w:cs="Arial"/>
        </w:rPr>
        <w:t>), Frailey and Finley</w:t>
      </w:r>
      <w:r>
        <w:rPr>
          <w:rFonts w:ascii="Arial" w:hAnsi="Arial" w:cs="Arial"/>
        </w:rPr>
        <w:t xml:space="preserve"> (</w:t>
      </w:r>
      <w:r w:rsidRPr="004B7137">
        <w:rPr>
          <w:rFonts w:ascii="Arial" w:hAnsi="Arial" w:cs="Arial"/>
        </w:rPr>
        <w:t>2009</w:t>
      </w:r>
      <w:r>
        <w:rPr>
          <w:rFonts w:ascii="Arial" w:hAnsi="Arial" w:cs="Arial"/>
        </w:rPr>
        <w:t>)</w:t>
      </w:r>
      <w:r w:rsidRPr="004B7137">
        <w:rPr>
          <w:rFonts w:ascii="Arial" w:hAnsi="Arial" w:cs="Arial"/>
        </w:rPr>
        <w:t xml:space="preserve">, Allinson et.al </w:t>
      </w:r>
      <w:r>
        <w:rPr>
          <w:rFonts w:ascii="Arial" w:hAnsi="Arial" w:cs="Arial"/>
        </w:rPr>
        <w:t>(</w:t>
      </w:r>
      <w:r w:rsidRPr="004B7137">
        <w:rPr>
          <w:rFonts w:ascii="Arial" w:hAnsi="Arial" w:cs="Arial"/>
        </w:rPr>
        <w:t>2010</w:t>
      </w:r>
      <w:r>
        <w:rPr>
          <w:rFonts w:ascii="Arial" w:hAnsi="Arial" w:cs="Arial"/>
        </w:rPr>
        <w:t>)</w:t>
      </w:r>
      <w:r w:rsidRPr="004B7137">
        <w:rPr>
          <w:rFonts w:ascii="Arial" w:hAnsi="Arial" w:cs="Arial"/>
        </w:rPr>
        <w:t>,</w:t>
      </w:r>
      <w:r w:rsidRPr="004B7137">
        <w:t xml:space="preserve"> </w:t>
      </w:r>
      <w:r w:rsidRPr="004B7137">
        <w:rPr>
          <w:rFonts w:ascii="Arial" w:hAnsi="Arial" w:cs="Arial"/>
        </w:rPr>
        <w:t xml:space="preserve">Rodosta et al. </w:t>
      </w:r>
      <w:r>
        <w:rPr>
          <w:rFonts w:ascii="Arial" w:hAnsi="Arial" w:cs="Arial"/>
        </w:rPr>
        <w:t>(2011)</w:t>
      </w:r>
      <w:r w:rsidRPr="004B7137">
        <w:rPr>
          <w:rFonts w:ascii="Arial" w:hAnsi="Arial" w:cs="Arial"/>
        </w:rPr>
        <w:t xml:space="preserve"> and Liu et.al </w:t>
      </w:r>
      <w:r>
        <w:rPr>
          <w:rFonts w:ascii="Arial" w:hAnsi="Arial" w:cs="Arial"/>
        </w:rPr>
        <w:t>(</w:t>
      </w:r>
      <w:r w:rsidRPr="004B7137">
        <w:rPr>
          <w:rFonts w:ascii="Arial" w:hAnsi="Arial" w:cs="Arial"/>
        </w:rPr>
        <w:t>2014</w:t>
      </w:r>
      <w:r>
        <w:rPr>
          <w:rFonts w:ascii="Arial" w:hAnsi="Arial" w:cs="Arial"/>
        </w:rPr>
        <w:t>)</w:t>
      </w:r>
      <w:r w:rsidRPr="004B7137">
        <w:rPr>
          <w:rFonts w:ascii="Arial" w:hAnsi="Arial" w:cs="Arial"/>
        </w:rPr>
        <w:t>. The Carbon Sequestration Leadership Forum (CSLF) has adopted a techno-economic resource pyramid approach [Phase II Final Report from the Task Force for Review and Identification of Standards for CO</w:t>
      </w:r>
      <w:r w:rsidRPr="001049FE">
        <w:rPr>
          <w:rFonts w:ascii="Arial" w:hAnsi="Arial" w:cs="Arial"/>
          <w:vertAlign w:val="subscript"/>
        </w:rPr>
        <w:t>2</w:t>
      </w:r>
      <w:r w:rsidRPr="004B7137">
        <w:rPr>
          <w:rFonts w:ascii="Arial" w:hAnsi="Arial" w:cs="Arial"/>
        </w:rPr>
        <w:t xml:space="preserve"> Storage Capacity Estimation] published in 2007.</w:t>
      </w:r>
    </w:p>
    <w:p w14:paraId="6F8A0229" w14:textId="77777777" w:rsidR="00E77025" w:rsidRPr="004B7137" w:rsidRDefault="00E77025" w:rsidP="00A35158">
      <w:pPr>
        <w:pStyle w:val="Els-body-text"/>
        <w:rPr>
          <w:rFonts w:ascii="Arial" w:hAnsi="Arial" w:cs="Arial"/>
        </w:rPr>
      </w:pPr>
    </w:p>
    <w:p w14:paraId="1C81C519" w14:textId="41B64C72" w:rsidR="00E77025" w:rsidRPr="001049FE" w:rsidRDefault="00E77025" w:rsidP="001642F3">
      <w:pPr>
        <w:jc w:val="both"/>
        <w:rPr>
          <w:rFonts w:ascii="Arial" w:hAnsi="Arial" w:cs="Arial"/>
          <w:sz w:val="20"/>
          <w:szCs w:val="20"/>
        </w:rPr>
      </w:pPr>
      <w:r w:rsidRPr="001049FE">
        <w:rPr>
          <w:rFonts w:ascii="Arial" w:hAnsi="Arial" w:cs="Arial"/>
          <w:sz w:val="20"/>
          <w:szCs w:val="20"/>
        </w:rPr>
        <w:t xml:space="preserve">The United Nations Economic Commission for Europe (UNECE) has an overarching classification system for fossil energy and mineral reserves and resources (UNFC-2009) and is looking to apply this system to </w:t>
      </w:r>
      <w:r>
        <w:rPr>
          <w:rFonts w:ascii="Arial" w:hAnsi="Arial" w:cs="Arial"/>
          <w:sz w:val="20"/>
          <w:szCs w:val="20"/>
        </w:rPr>
        <w:t xml:space="preserve">injection projects that includes </w:t>
      </w:r>
      <w:r w:rsidRPr="001049FE">
        <w:rPr>
          <w:rFonts w:ascii="Arial" w:hAnsi="Arial" w:cs="Arial"/>
          <w:sz w:val="20"/>
          <w:szCs w:val="20"/>
        </w:rPr>
        <w:t>geological storage of CO</w:t>
      </w:r>
      <w:r w:rsidRPr="002F639D">
        <w:rPr>
          <w:rFonts w:ascii="Arial" w:hAnsi="Arial" w:cs="Arial"/>
          <w:sz w:val="20"/>
          <w:szCs w:val="20"/>
          <w:vertAlign w:val="subscript"/>
        </w:rPr>
        <w:t>2</w:t>
      </w:r>
      <w:r w:rsidRPr="001049FE">
        <w:rPr>
          <w:rFonts w:ascii="Arial" w:hAnsi="Arial" w:cs="Arial"/>
          <w:sz w:val="20"/>
          <w:szCs w:val="20"/>
        </w:rPr>
        <w:t>. The final Specifications for the Application of the UNFC-2009 to Injection Projects for the purpose of geological storage can be found at [</w:t>
      </w:r>
      <w:hyperlink r:id="rId15" w:history="1">
        <w:r w:rsidRPr="001049FE">
          <w:rPr>
            <w:rStyle w:val="Hyperlink"/>
            <w:color w:val="006AB1"/>
            <w:spacing w:val="-3"/>
            <w:sz w:val="20"/>
            <w:szCs w:val="20"/>
            <w:bdr w:val="none" w:sz="0" w:space="0" w:color="auto" w:frame="1"/>
            <w:shd w:val="clear" w:color="auto" w:fill="FFFFFF"/>
          </w:rPr>
          <w:t>http://www.unece.org/energy/se/reserves.html</w:t>
        </w:r>
      </w:hyperlink>
      <w:r w:rsidR="000762FD">
        <w:rPr>
          <w:rStyle w:val="Hyperlink"/>
          <w:color w:val="006AB1"/>
          <w:spacing w:val="-3"/>
          <w:sz w:val="20"/>
          <w:szCs w:val="20"/>
          <w:bdr w:val="none" w:sz="0" w:space="0" w:color="auto" w:frame="1"/>
          <w:shd w:val="clear" w:color="auto" w:fill="FFFFFF"/>
        </w:rPr>
        <w:t xml:space="preserve">. </w:t>
      </w:r>
      <w:r w:rsidRPr="001049FE">
        <w:rPr>
          <w:rFonts w:ascii="Arial" w:hAnsi="Arial" w:cs="Arial"/>
          <w:sz w:val="20"/>
          <w:szCs w:val="20"/>
        </w:rPr>
        <w:t>The UNFC-2009 as applied to petroleum resources has been mapped to the SPE/WPC/AAPG/SPEE Petroleum Resources Management System (PRMS) using a bridging document. The SPE taskforce is working with the UNECE to apply the same approach to the CO</w:t>
      </w:r>
      <w:r w:rsidRPr="000F699E">
        <w:rPr>
          <w:rFonts w:ascii="Arial" w:hAnsi="Arial" w:cs="Arial"/>
          <w:sz w:val="20"/>
          <w:szCs w:val="20"/>
          <w:vertAlign w:val="subscript"/>
        </w:rPr>
        <w:t>2</w:t>
      </w:r>
      <w:r w:rsidRPr="001049FE">
        <w:rPr>
          <w:rFonts w:ascii="Arial" w:hAnsi="Arial" w:cs="Arial"/>
          <w:sz w:val="20"/>
          <w:szCs w:val="20"/>
        </w:rPr>
        <w:t xml:space="preserve"> Storage Resources Management System in order to maintain the consistency of both systems. </w:t>
      </w:r>
    </w:p>
    <w:p w14:paraId="397320A1" w14:textId="77777777" w:rsidR="00E77025" w:rsidRDefault="00E77025" w:rsidP="00C97B1A"/>
    <w:p w14:paraId="10B7A472" w14:textId="77777777" w:rsidR="00E77025" w:rsidRPr="001049FE" w:rsidRDefault="00E77025" w:rsidP="001642F3">
      <w:pPr>
        <w:jc w:val="both"/>
        <w:rPr>
          <w:rFonts w:ascii="Arial" w:hAnsi="Arial" w:cs="Arial"/>
          <w:sz w:val="20"/>
          <w:szCs w:val="20"/>
        </w:rPr>
      </w:pPr>
      <w:r w:rsidRPr="001049FE">
        <w:rPr>
          <w:rFonts w:ascii="Arial" w:hAnsi="Arial" w:cs="Arial"/>
          <w:sz w:val="20"/>
          <w:szCs w:val="20"/>
        </w:rPr>
        <w:t>This multiplicity of similar but different systems has a remarkable parallel with the situation in the petroleum industry prior to the coordinated efforts of a number of societies at the beginning of the 21</w:t>
      </w:r>
      <w:r w:rsidRPr="001049FE">
        <w:rPr>
          <w:rFonts w:ascii="Arial" w:hAnsi="Arial" w:cs="Arial"/>
          <w:sz w:val="20"/>
          <w:szCs w:val="20"/>
          <w:vertAlign w:val="superscript"/>
        </w:rPr>
        <w:t>st</w:t>
      </w:r>
      <w:r w:rsidRPr="001049FE">
        <w:rPr>
          <w:rFonts w:ascii="Arial" w:hAnsi="Arial" w:cs="Arial"/>
          <w:sz w:val="20"/>
          <w:szCs w:val="20"/>
        </w:rPr>
        <w:t xml:space="preserve"> century. Dra</w:t>
      </w:r>
      <w:r w:rsidR="000F699E">
        <w:rPr>
          <w:rFonts w:ascii="Arial" w:hAnsi="Arial" w:cs="Arial"/>
          <w:sz w:val="20"/>
          <w:szCs w:val="20"/>
        </w:rPr>
        <w:t>w</w:t>
      </w:r>
      <w:r w:rsidRPr="001049FE">
        <w:rPr>
          <w:rFonts w:ascii="Arial" w:hAnsi="Arial" w:cs="Arial"/>
          <w:sz w:val="20"/>
          <w:szCs w:val="20"/>
        </w:rPr>
        <w:t>ing upon this experience</w:t>
      </w:r>
      <w:r>
        <w:rPr>
          <w:rFonts w:ascii="Arial" w:hAnsi="Arial" w:cs="Arial"/>
          <w:sz w:val="20"/>
          <w:szCs w:val="20"/>
        </w:rPr>
        <w:t>,</w:t>
      </w:r>
      <w:r w:rsidRPr="001049FE">
        <w:rPr>
          <w:rFonts w:ascii="Arial" w:hAnsi="Arial" w:cs="Arial"/>
          <w:sz w:val="20"/>
          <w:szCs w:val="20"/>
        </w:rPr>
        <w:t xml:space="preserve"> this document outlines a system based on the SPE/WPC/AAPG/SPEE PRMS, which has a well-established usage and acceptance by many organization</w:t>
      </w:r>
      <w:r>
        <w:rPr>
          <w:rFonts w:ascii="Arial" w:hAnsi="Arial" w:cs="Arial"/>
          <w:sz w:val="20"/>
          <w:szCs w:val="20"/>
        </w:rPr>
        <w:t xml:space="preserve"> and</w:t>
      </w:r>
      <w:r w:rsidRPr="001049FE">
        <w:rPr>
          <w:rFonts w:ascii="Arial" w:hAnsi="Arial" w:cs="Arial"/>
          <w:sz w:val="20"/>
          <w:szCs w:val="20"/>
        </w:rPr>
        <w:t xml:space="preserve"> was used very closely in the development to of this document.  The PRMS definitions and the related classification system are now in common use internationally within the petroleum industry. The CO</w:t>
      </w:r>
      <w:r w:rsidRPr="00F64533">
        <w:rPr>
          <w:rFonts w:ascii="Arial" w:hAnsi="Arial" w:cs="Arial"/>
          <w:sz w:val="20"/>
          <w:szCs w:val="20"/>
          <w:vertAlign w:val="subscript"/>
        </w:rPr>
        <w:t>2</w:t>
      </w:r>
      <w:r w:rsidRPr="001049FE">
        <w:rPr>
          <w:rFonts w:ascii="Arial" w:hAnsi="Arial" w:cs="Arial"/>
          <w:sz w:val="20"/>
          <w:szCs w:val="20"/>
        </w:rPr>
        <w:t xml:space="preserve"> Storage Resources Management System is being developed to create a consistent set of definition and classification system </w:t>
      </w:r>
      <w:r>
        <w:rPr>
          <w:rFonts w:ascii="Arial" w:hAnsi="Arial" w:cs="Arial"/>
          <w:sz w:val="20"/>
          <w:szCs w:val="20"/>
        </w:rPr>
        <w:t xml:space="preserve">for </w:t>
      </w:r>
      <w:r w:rsidRPr="001049FE">
        <w:rPr>
          <w:rFonts w:ascii="Arial" w:hAnsi="Arial" w:cs="Arial"/>
          <w:sz w:val="20"/>
          <w:szCs w:val="20"/>
        </w:rPr>
        <w:t>international</w:t>
      </w:r>
      <w:r>
        <w:rPr>
          <w:rFonts w:ascii="Arial" w:hAnsi="Arial" w:cs="Arial"/>
          <w:sz w:val="20"/>
          <w:szCs w:val="20"/>
        </w:rPr>
        <w:t xml:space="preserve"> usage</w:t>
      </w:r>
      <w:r w:rsidRPr="001049FE">
        <w:rPr>
          <w:rFonts w:ascii="Arial" w:hAnsi="Arial" w:cs="Arial"/>
          <w:sz w:val="20"/>
          <w:szCs w:val="20"/>
        </w:rPr>
        <w:t>. The SRMS will also provide a measure of comparability and reduce the subjective nature of resources estimation. As technologies employed for CO</w:t>
      </w:r>
      <w:r w:rsidRPr="00F64533">
        <w:rPr>
          <w:rFonts w:ascii="Arial" w:hAnsi="Arial" w:cs="Arial"/>
          <w:sz w:val="20"/>
          <w:szCs w:val="20"/>
          <w:vertAlign w:val="subscript"/>
        </w:rPr>
        <w:t>2</w:t>
      </w:r>
      <w:r>
        <w:rPr>
          <w:rFonts w:ascii="Arial" w:hAnsi="Arial" w:cs="Arial"/>
          <w:sz w:val="20"/>
          <w:szCs w:val="20"/>
        </w:rPr>
        <w:t xml:space="preserve"> storage</w:t>
      </w:r>
      <w:r w:rsidRPr="001049FE">
        <w:rPr>
          <w:rFonts w:ascii="Arial" w:hAnsi="Arial" w:cs="Arial"/>
          <w:sz w:val="20"/>
          <w:szCs w:val="20"/>
        </w:rPr>
        <w:t xml:space="preserve"> continue to evolve and improve</w:t>
      </w:r>
      <w:r>
        <w:rPr>
          <w:rFonts w:ascii="Arial" w:hAnsi="Arial" w:cs="Arial"/>
          <w:sz w:val="20"/>
          <w:szCs w:val="20"/>
        </w:rPr>
        <w:t xml:space="preserve">, the </w:t>
      </w:r>
      <w:r w:rsidRPr="001049FE">
        <w:rPr>
          <w:rFonts w:ascii="Arial" w:hAnsi="Arial" w:cs="Arial"/>
          <w:sz w:val="20"/>
          <w:szCs w:val="20"/>
        </w:rPr>
        <w:t>CO</w:t>
      </w:r>
      <w:r w:rsidRPr="00F64533">
        <w:rPr>
          <w:rFonts w:ascii="Arial" w:hAnsi="Arial" w:cs="Arial"/>
          <w:sz w:val="20"/>
          <w:szCs w:val="20"/>
          <w:vertAlign w:val="subscript"/>
        </w:rPr>
        <w:t>2</w:t>
      </w:r>
      <w:r w:rsidRPr="001049FE">
        <w:rPr>
          <w:rFonts w:ascii="Arial" w:hAnsi="Arial" w:cs="Arial"/>
          <w:sz w:val="20"/>
          <w:szCs w:val="20"/>
        </w:rPr>
        <w:t xml:space="preserve"> Storage Resources Management System</w:t>
      </w:r>
      <w:r>
        <w:rPr>
          <w:rFonts w:ascii="Arial" w:hAnsi="Arial" w:cs="Arial"/>
          <w:sz w:val="20"/>
          <w:szCs w:val="20"/>
        </w:rPr>
        <w:t xml:space="preserve"> sub-committee</w:t>
      </w:r>
      <w:r w:rsidRPr="001049FE">
        <w:rPr>
          <w:rFonts w:ascii="Arial" w:hAnsi="Arial" w:cs="Arial"/>
          <w:sz w:val="20"/>
          <w:szCs w:val="20"/>
        </w:rPr>
        <w:t xml:space="preserve"> will work closely with other organizations to maintain the definitions and issues periodic revisions to keep current with evolving technologies and changing commercial opportunities.  </w:t>
      </w:r>
    </w:p>
    <w:p w14:paraId="702C68BA" w14:textId="77777777" w:rsidR="00E77025" w:rsidRDefault="00E77025" w:rsidP="00A35158">
      <w:pPr>
        <w:pStyle w:val="NormalWeb"/>
        <w:jc w:val="both"/>
        <w:rPr>
          <w:color w:val="auto"/>
        </w:rPr>
      </w:pPr>
      <w:r>
        <w:lastRenderedPageBreak/>
        <w:t>The established usage and acceptance of the PRMS provided the initial template for adaption to this Storage</w:t>
      </w:r>
      <w:r w:rsidRPr="00D30BC1">
        <w:t xml:space="preserve"> Resources Management System document</w:t>
      </w:r>
      <w:r>
        <w:t>. The PRMS classification concerns</w:t>
      </w:r>
      <w:r w:rsidRPr="00FD472F">
        <w:t xml:space="preserve"> </w:t>
      </w:r>
      <w:r>
        <w:t xml:space="preserve">the commercial viability of hydrocarbon accumulations. The </w:t>
      </w:r>
      <w:r w:rsidR="000F699E">
        <w:t xml:space="preserve">basis of the </w:t>
      </w:r>
      <w:r>
        <w:t xml:space="preserve">SRMS classification scheme is </w:t>
      </w:r>
      <w:r w:rsidR="000F699E">
        <w:t xml:space="preserve">the </w:t>
      </w:r>
      <w:r>
        <w:t xml:space="preserve">accessible pore volume in a geologic formation </w:t>
      </w:r>
      <w:r w:rsidR="000F699E">
        <w:t>in which</w:t>
      </w:r>
      <w:r>
        <w:t xml:space="preserve"> CO</w:t>
      </w:r>
      <w:r w:rsidRPr="002F639D">
        <w:rPr>
          <w:vertAlign w:val="subscript"/>
        </w:rPr>
        <w:t>2</w:t>
      </w:r>
      <w:r>
        <w:t xml:space="preserve"> could be stored</w:t>
      </w:r>
      <w:r w:rsidR="000F699E">
        <w:t xml:space="preserve"> (i.e. storable quantities)</w:t>
      </w:r>
      <w:r>
        <w:t xml:space="preserve">. </w:t>
      </w:r>
    </w:p>
    <w:p w14:paraId="72BA9410" w14:textId="77777777" w:rsidR="00E77025" w:rsidRPr="00335306" w:rsidRDefault="00E77025" w:rsidP="001642F3">
      <w:pPr>
        <w:jc w:val="both"/>
        <w:rPr>
          <w:rFonts w:ascii="Arial" w:hAnsi="Arial" w:cs="Arial"/>
          <w:sz w:val="20"/>
          <w:szCs w:val="20"/>
        </w:rPr>
      </w:pPr>
      <w:r w:rsidRPr="00335306">
        <w:rPr>
          <w:rFonts w:ascii="Arial" w:hAnsi="Arial" w:cs="Arial"/>
          <w:sz w:val="20"/>
          <w:szCs w:val="20"/>
        </w:rPr>
        <w:t>These definitions and guidelines are designed to provide a common reference for the international storage industry, including national reporting and regulatory disclosure agencies, and to support storage project and portfolio management requirements. They are intended to improve clarity in global communications regarding storage resources. It is expected that this document will be supplemented with industry education programs and application guides addressing their implementation in a wide spectrum of technical and/or commercial settings.</w:t>
      </w:r>
    </w:p>
    <w:p w14:paraId="7ACF2A9C" w14:textId="77777777" w:rsidR="00E77025" w:rsidRPr="00D30BC1" w:rsidRDefault="00E77025" w:rsidP="00D30BC1">
      <w:pPr>
        <w:pStyle w:val="NormalWeb"/>
        <w:jc w:val="both"/>
      </w:pPr>
      <w:r w:rsidRPr="00D30BC1">
        <w:t xml:space="preserve">It is understood that these definitions and guidelines allow flexibility for users and agencies to tailor application for their particular needs; however, any modifications to the guidance contained herein should be clearly identified. The definitions and guidelines contained in this document must not be construed as modifying the interpretation or application of any existing regulatory reporting requirements. </w:t>
      </w:r>
    </w:p>
    <w:p w14:paraId="78A2AC2A" w14:textId="77777777" w:rsidR="00E77025" w:rsidRPr="00D30BC1" w:rsidRDefault="00E77025" w:rsidP="00D30BC1">
      <w:pPr>
        <w:pStyle w:val="NormalWeb"/>
        <w:jc w:val="both"/>
      </w:pPr>
      <w:r w:rsidRPr="00D30BC1">
        <w:t xml:space="preserve">This SPE </w:t>
      </w:r>
      <w:r>
        <w:t>Storage</w:t>
      </w:r>
      <w:r w:rsidRPr="00D30BC1">
        <w:t xml:space="preserve"> Resources Management System document, including its Appendix, may be referred to by the abbreviated term </w:t>
      </w:r>
      <w:r w:rsidRPr="00D30BC1">
        <w:rPr>
          <w:rFonts w:ascii="Times New Roman" w:hAnsi="Times New Roman"/>
          <w:color w:val="auto"/>
          <w:sz w:val="18"/>
        </w:rPr>
        <w:t>“</w:t>
      </w:r>
      <w:r w:rsidRPr="00D30BC1">
        <w:t>SPE-</w:t>
      </w:r>
      <w:r>
        <w:t>SRMS</w:t>
      </w:r>
      <w:r w:rsidRPr="00D30BC1">
        <w:rPr>
          <w:rFonts w:ascii="Times New Roman" w:hAnsi="Times New Roman"/>
          <w:color w:val="auto"/>
          <w:sz w:val="18"/>
        </w:rPr>
        <w:t>”</w:t>
      </w:r>
      <w:r w:rsidRPr="00D30BC1">
        <w:t xml:space="preserve">. </w:t>
      </w:r>
    </w:p>
    <w:p w14:paraId="13B3AD17" w14:textId="77777777" w:rsidR="00233C40" w:rsidRPr="00D30BC1" w:rsidRDefault="00233C40" w:rsidP="00D30BC1">
      <w:pPr>
        <w:rPr>
          <w:rFonts w:ascii="Arial" w:hAnsi="Arial" w:cs="Arial"/>
          <w:b/>
          <w:bCs/>
          <w:sz w:val="32"/>
          <w:szCs w:val="36"/>
        </w:rPr>
      </w:pPr>
      <w:r w:rsidRPr="00D30BC1">
        <w:rPr>
          <w:rFonts w:ascii="Arial" w:hAnsi="Arial" w:cs="Arial"/>
          <w:b/>
          <w:bCs/>
          <w:sz w:val="32"/>
          <w:szCs w:val="36"/>
        </w:rPr>
        <w:t xml:space="preserve">1.0   Basic Principles and Definitions </w:t>
      </w:r>
    </w:p>
    <w:p w14:paraId="6F03F922" w14:textId="77777777" w:rsidR="00233C40" w:rsidRPr="003747AE" w:rsidRDefault="00233C40" w:rsidP="001642F3">
      <w:pPr>
        <w:jc w:val="both"/>
        <w:rPr>
          <w:rStyle w:val="header2green"/>
        </w:rPr>
      </w:pPr>
      <w:r w:rsidRPr="00631336">
        <w:rPr>
          <w:rStyle w:val="header2green"/>
          <w:rFonts w:ascii="Arial" w:hAnsi="Arial" w:cs="Arial"/>
          <w:sz w:val="20"/>
          <w:szCs w:val="20"/>
        </w:rPr>
        <w:t xml:space="preserve">The estimation of storage resource quantities involves the interpretation of </w:t>
      </w:r>
      <w:r w:rsidR="000762FD">
        <w:rPr>
          <w:rStyle w:val="header2green"/>
          <w:rFonts w:ascii="Arial" w:hAnsi="Arial" w:cs="Arial"/>
          <w:sz w:val="20"/>
          <w:szCs w:val="20"/>
        </w:rPr>
        <w:t>the subsurface</w:t>
      </w:r>
      <w:r w:rsidRPr="00631336">
        <w:rPr>
          <w:rStyle w:val="header2green"/>
          <w:rFonts w:ascii="Arial" w:hAnsi="Arial" w:cs="Arial"/>
          <w:sz w:val="20"/>
          <w:szCs w:val="20"/>
        </w:rPr>
        <w:t xml:space="preserve"> that ha</w:t>
      </w:r>
      <w:r w:rsidR="000762FD">
        <w:rPr>
          <w:rStyle w:val="header2green"/>
          <w:rFonts w:ascii="Arial" w:hAnsi="Arial" w:cs="Arial"/>
          <w:sz w:val="20"/>
          <w:szCs w:val="20"/>
        </w:rPr>
        <w:t>s</w:t>
      </w:r>
      <w:r w:rsidRPr="00631336">
        <w:rPr>
          <w:rStyle w:val="header2green"/>
          <w:rFonts w:ascii="Arial" w:hAnsi="Arial" w:cs="Arial"/>
          <w:sz w:val="20"/>
          <w:szCs w:val="20"/>
        </w:rPr>
        <w:t xml:space="preserve"> an inherent </w:t>
      </w:r>
      <w:r w:rsidRPr="003747AE">
        <w:rPr>
          <w:rStyle w:val="header2green"/>
          <w:rFonts w:ascii="Arial" w:hAnsi="Arial" w:cs="Arial"/>
          <w:sz w:val="20"/>
          <w:szCs w:val="20"/>
        </w:rPr>
        <w:t>degree of uncertainty. These quantities are associated with development projects at various stages of design and implementation. Use of a consistent classification system enhances comparisons between projects, groups of projects, and storage efficiency</w:t>
      </w:r>
      <w:r w:rsidRPr="003747AE">
        <w:rPr>
          <w:rStyle w:val="header2green"/>
          <w:rFonts w:ascii="Arial" w:hAnsi="Arial" w:cs="Arial"/>
          <w:b/>
          <w:bCs/>
          <w:sz w:val="20"/>
          <w:szCs w:val="20"/>
        </w:rPr>
        <w:t>.</w:t>
      </w:r>
      <w:r w:rsidRPr="003747AE">
        <w:rPr>
          <w:rStyle w:val="header2green"/>
          <w:rFonts w:ascii="Arial" w:hAnsi="Arial" w:cs="Arial"/>
          <w:sz w:val="20"/>
          <w:szCs w:val="20"/>
        </w:rPr>
        <w:t xml:space="preserve"> Such</w:t>
      </w:r>
      <w:r w:rsidRPr="00631336">
        <w:rPr>
          <w:rStyle w:val="header2green"/>
          <w:rFonts w:ascii="Arial" w:hAnsi="Arial" w:cs="Arial"/>
          <w:sz w:val="20"/>
          <w:szCs w:val="20"/>
        </w:rPr>
        <w:t xml:space="preserve"> a system must consider both technical and commercial factors that impact the project’s economic feasibility, its productive life, and its related cash flows.</w:t>
      </w:r>
    </w:p>
    <w:p w14:paraId="06798CE2" w14:textId="77777777" w:rsidR="00233C40" w:rsidRPr="00D30BC1" w:rsidRDefault="00233C40" w:rsidP="00D30BC1">
      <w:pPr>
        <w:pStyle w:val="CommentText"/>
        <w:rPr>
          <w:szCs w:val="24"/>
        </w:rPr>
      </w:pPr>
    </w:p>
    <w:p w14:paraId="001E7393" w14:textId="77777777" w:rsidR="00233C40" w:rsidRPr="00D30BC1" w:rsidRDefault="00233C40" w:rsidP="00D30BC1">
      <w:pPr>
        <w:pStyle w:val="Heading2"/>
        <w:rPr>
          <w:rStyle w:val="header2green"/>
          <w:b w:val="0"/>
          <w:bCs w:val="0"/>
        </w:rPr>
      </w:pPr>
      <w:r w:rsidRPr="00D30BC1">
        <w:t xml:space="preserve">1.1   </w:t>
      </w:r>
      <w:r>
        <w:t>Storage</w:t>
      </w:r>
      <w:r w:rsidRPr="00D30BC1">
        <w:t xml:space="preserve"> Resources Classification Framework</w:t>
      </w:r>
    </w:p>
    <w:p w14:paraId="2B448E18" w14:textId="77777777" w:rsidR="00233C40" w:rsidRPr="00D30BC1" w:rsidRDefault="00233C40" w:rsidP="00D30BC1">
      <w:pPr>
        <w:pStyle w:val="CommentText"/>
        <w:jc w:val="both"/>
        <w:rPr>
          <w:rFonts w:ascii="Arial" w:hAnsi="Arial" w:cs="Arial"/>
          <w:szCs w:val="24"/>
        </w:rPr>
      </w:pPr>
    </w:p>
    <w:p w14:paraId="000BF156" w14:textId="77777777" w:rsidR="00233C40" w:rsidRPr="003747AE" w:rsidRDefault="00233C40" w:rsidP="001642F3">
      <w:pPr>
        <w:jc w:val="both"/>
      </w:pPr>
      <w:r w:rsidRPr="00D30BC1">
        <w:rPr>
          <w:rStyle w:val="header2green"/>
          <w:rFonts w:ascii="Arial" w:hAnsi="Arial" w:cs="Arial"/>
          <w:sz w:val="20"/>
        </w:rPr>
        <w:t xml:space="preserve">The term </w:t>
      </w:r>
      <w:r w:rsidRPr="00D30BC1">
        <w:rPr>
          <w:rStyle w:val="header2green"/>
          <w:rFonts w:cs="Arial"/>
          <w:sz w:val="18"/>
        </w:rPr>
        <w:t>“</w:t>
      </w:r>
      <w:r w:rsidRPr="00D30BC1">
        <w:rPr>
          <w:rStyle w:val="header2green"/>
          <w:rFonts w:ascii="Arial" w:hAnsi="Arial" w:cs="Arial"/>
          <w:sz w:val="20"/>
        </w:rPr>
        <w:t>resources</w:t>
      </w:r>
      <w:r w:rsidRPr="00D30BC1">
        <w:rPr>
          <w:rStyle w:val="header2green"/>
          <w:rFonts w:cs="Arial"/>
          <w:sz w:val="18"/>
        </w:rPr>
        <w:t>”</w:t>
      </w:r>
      <w:r w:rsidRPr="00D30BC1">
        <w:rPr>
          <w:rStyle w:val="header2green"/>
          <w:rFonts w:ascii="Arial" w:hAnsi="Arial" w:cs="Arial"/>
          <w:sz w:val="20"/>
        </w:rPr>
        <w:t xml:space="preserve"> as used herein is intended to encompass all quantities of </w:t>
      </w:r>
      <w:r>
        <w:rPr>
          <w:rStyle w:val="header2green"/>
          <w:rFonts w:ascii="Arial" w:hAnsi="Arial" w:cs="Arial"/>
          <w:sz w:val="20"/>
        </w:rPr>
        <w:t>pore volume potentially suitable for storage</w:t>
      </w:r>
      <w:r w:rsidRPr="00D30BC1">
        <w:rPr>
          <w:rStyle w:val="header2green"/>
          <w:rFonts w:ascii="Arial" w:hAnsi="Arial" w:cs="Arial"/>
          <w:sz w:val="20"/>
        </w:rPr>
        <w:t xml:space="preserve"> naturally occurring within the Earth</w:t>
      </w:r>
      <w:r w:rsidRPr="00D30BC1">
        <w:rPr>
          <w:rStyle w:val="header2green"/>
          <w:rFonts w:cs="Arial"/>
          <w:sz w:val="18"/>
        </w:rPr>
        <w:t>’</w:t>
      </w:r>
      <w:r w:rsidRPr="00D30BC1">
        <w:rPr>
          <w:rStyle w:val="header2green"/>
          <w:rFonts w:ascii="Arial" w:hAnsi="Arial" w:cs="Arial"/>
          <w:sz w:val="20"/>
        </w:rPr>
        <w:t>s crust, discovered and undiscovered (</w:t>
      </w:r>
      <w:r>
        <w:rPr>
          <w:rStyle w:val="header2green"/>
          <w:rFonts w:ascii="Arial" w:hAnsi="Arial" w:cs="Arial"/>
          <w:sz w:val="20"/>
        </w:rPr>
        <w:t>accessible</w:t>
      </w:r>
      <w:r w:rsidRPr="00D30BC1">
        <w:rPr>
          <w:rStyle w:val="header2green"/>
          <w:rFonts w:ascii="Arial" w:hAnsi="Arial" w:cs="Arial"/>
          <w:sz w:val="20"/>
        </w:rPr>
        <w:t xml:space="preserve"> and in</w:t>
      </w:r>
      <w:r>
        <w:rPr>
          <w:rStyle w:val="header2green"/>
          <w:rFonts w:ascii="Arial" w:hAnsi="Arial" w:cs="Arial"/>
          <w:sz w:val="20"/>
        </w:rPr>
        <w:t>accessible</w:t>
      </w:r>
      <w:r w:rsidRPr="00D30BC1">
        <w:rPr>
          <w:rStyle w:val="header2green"/>
          <w:rFonts w:ascii="Arial" w:hAnsi="Arial" w:cs="Arial"/>
          <w:sz w:val="20"/>
        </w:rPr>
        <w:t xml:space="preserve">), plus those quantities already </w:t>
      </w:r>
      <w:r>
        <w:rPr>
          <w:rStyle w:val="header2green"/>
          <w:rFonts w:ascii="Arial" w:hAnsi="Arial" w:cs="Arial"/>
          <w:sz w:val="20"/>
        </w:rPr>
        <w:t>used for storage</w:t>
      </w:r>
      <w:r w:rsidR="000762FD">
        <w:rPr>
          <w:rStyle w:val="header2green"/>
          <w:rFonts w:ascii="Arial" w:hAnsi="Arial" w:cs="Arial"/>
          <w:sz w:val="20"/>
        </w:rPr>
        <w:t xml:space="preserve"> (stored)</w:t>
      </w:r>
      <w:r w:rsidRPr="00D30BC1">
        <w:rPr>
          <w:rStyle w:val="header2green"/>
          <w:rFonts w:ascii="Arial" w:hAnsi="Arial" w:cs="Arial"/>
          <w:sz w:val="20"/>
        </w:rPr>
        <w:t>.</w:t>
      </w:r>
      <w:r w:rsidRPr="00D30BC1">
        <w:rPr>
          <w:rFonts w:ascii="Arial" w:hAnsi="Arial" w:cs="Arial"/>
          <w:sz w:val="20"/>
        </w:rPr>
        <w:t xml:space="preserve"> Further, it includes all types of </w:t>
      </w:r>
      <w:r>
        <w:rPr>
          <w:rFonts w:ascii="Arial" w:hAnsi="Arial" w:cs="Arial"/>
          <w:sz w:val="20"/>
        </w:rPr>
        <w:t>storage</w:t>
      </w:r>
      <w:r w:rsidRPr="00D30BC1">
        <w:rPr>
          <w:rFonts w:ascii="Arial" w:hAnsi="Arial" w:cs="Arial"/>
          <w:sz w:val="20"/>
        </w:rPr>
        <w:t xml:space="preserve"> whether currently considered </w:t>
      </w:r>
      <w:r w:rsidRPr="00D30BC1">
        <w:rPr>
          <w:rFonts w:cs="Arial"/>
          <w:sz w:val="18"/>
        </w:rPr>
        <w:t>“</w:t>
      </w:r>
      <w:r w:rsidRPr="00D30BC1">
        <w:rPr>
          <w:rFonts w:ascii="Arial" w:hAnsi="Arial" w:cs="Arial"/>
          <w:sz w:val="20"/>
        </w:rPr>
        <w:t>conventional</w:t>
      </w:r>
      <w:r w:rsidRPr="00D30BC1">
        <w:rPr>
          <w:rFonts w:cs="Arial"/>
          <w:sz w:val="18"/>
        </w:rPr>
        <w:t>”</w:t>
      </w:r>
      <w:r w:rsidRPr="00D30BC1">
        <w:rPr>
          <w:rFonts w:ascii="Arial" w:hAnsi="Arial" w:cs="Arial"/>
          <w:sz w:val="20"/>
        </w:rPr>
        <w:t xml:space="preserve"> or </w:t>
      </w:r>
      <w:r w:rsidRPr="00D30BC1">
        <w:rPr>
          <w:rFonts w:cs="Arial"/>
          <w:sz w:val="18"/>
        </w:rPr>
        <w:t>“</w:t>
      </w:r>
      <w:r w:rsidRPr="00D30BC1">
        <w:rPr>
          <w:rFonts w:ascii="Arial" w:hAnsi="Arial" w:cs="Arial"/>
          <w:sz w:val="20"/>
        </w:rPr>
        <w:t>unconventional.</w:t>
      </w:r>
      <w:r w:rsidRPr="00D30BC1">
        <w:rPr>
          <w:rFonts w:cs="Arial"/>
          <w:sz w:val="18"/>
        </w:rPr>
        <w:t>”</w:t>
      </w:r>
      <w:r w:rsidRPr="00D30BC1">
        <w:rPr>
          <w:rFonts w:ascii="Arial" w:hAnsi="Arial" w:cs="Arial"/>
          <w:sz w:val="20"/>
        </w:rPr>
        <w:t xml:space="preserve"> </w:t>
      </w:r>
    </w:p>
    <w:p w14:paraId="65361E19" w14:textId="77777777" w:rsidR="00233C40" w:rsidRDefault="00233C40"/>
    <w:p w14:paraId="682D8537" w14:textId="670C10E9" w:rsidR="00233C40" w:rsidRPr="00D30BC1" w:rsidRDefault="00233C40" w:rsidP="00D30BC1">
      <w:pPr>
        <w:jc w:val="both"/>
        <w:rPr>
          <w:rFonts w:ascii="Arial" w:hAnsi="Arial" w:cs="Arial"/>
          <w:sz w:val="20"/>
        </w:rPr>
      </w:pPr>
      <w:r w:rsidRPr="00D30BC1">
        <w:rPr>
          <w:rFonts w:ascii="Arial" w:hAnsi="Arial" w:cs="Arial"/>
          <w:sz w:val="20"/>
        </w:rPr>
        <w:t xml:space="preserve">Figure 1-1 is a graphical representation of the SPE/WPC/AAPG/SPEE </w:t>
      </w:r>
      <w:r>
        <w:rPr>
          <w:rFonts w:ascii="Arial" w:hAnsi="Arial" w:cs="Arial"/>
          <w:sz w:val="20"/>
        </w:rPr>
        <w:t xml:space="preserve">Storage </w:t>
      </w:r>
      <w:r w:rsidRPr="00D30BC1">
        <w:rPr>
          <w:rFonts w:ascii="Arial" w:hAnsi="Arial" w:cs="Arial"/>
          <w:sz w:val="20"/>
        </w:rPr>
        <w:t>resources classification system.</w:t>
      </w:r>
      <w:r w:rsidRPr="00D30BC1">
        <w:rPr>
          <w:rFonts w:ascii="Arial" w:hAnsi="Arial" w:cs="Arial"/>
          <w:b/>
          <w:bCs/>
          <w:sz w:val="20"/>
        </w:rPr>
        <w:t xml:space="preserve"> </w:t>
      </w:r>
      <w:r w:rsidRPr="00D30BC1">
        <w:rPr>
          <w:rFonts w:ascii="Arial" w:hAnsi="Arial" w:cs="Arial"/>
          <w:sz w:val="20"/>
        </w:rPr>
        <w:t xml:space="preserve">The system defines the major </w:t>
      </w:r>
      <w:r w:rsidR="001E0235">
        <w:rPr>
          <w:rFonts w:ascii="Arial" w:hAnsi="Arial" w:cs="Arial"/>
          <w:sz w:val="20"/>
        </w:rPr>
        <w:t>storage</w:t>
      </w:r>
      <w:r w:rsidRPr="00D30BC1">
        <w:rPr>
          <w:rFonts w:ascii="Arial" w:hAnsi="Arial" w:cs="Arial"/>
          <w:sz w:val="20"/>
        </w:rPr>
        <w:t xml:space="preserve"> resources classes: </w:t>
      </w:r>
      <w:r w:rsidR="000762FD">
        <w:rPr>
          <w:rFonts w:ascii="Arial" w:hAnsi="Arial" w:cs="Arial"/>
          <w:sz w:val="20"/>
        </w:rPr>
        <w:t>Stored</w:t>
      </w:r>
      <w:r w:rsidRPr="00D30BC1">
        <w:rPr>
          <w:rFonts w:ascii="Arial" w:hAnsi="Arial" w:cs="Arial"/>
          <w:sz w:val="20"/>
        </w:rPr>
        <w:t xml:space="preserve">, </w:t>
      </w:r>
      <w:r w:rsidR="000762FD">
        <w:rPr>
          <w:rFonts w:ascii="Arial" w:hAnsi="Arial" w:cs="Arial"/>
          <w:sz w:val="20"/>
        </w:rPr>
        <w:t>Capacity</w:t>
      </w:r>
      <w:r w:rsidRPr="00D30BC1">
        <w:rPr>
          <w:rFonts w:ascii="Arial" w:hAnsi="Arial" w:cs="Arial"/>
          <w:sz w:val="20"/>
        </w:rPr>
        <w:t xml:space="preserve">, Contingent </w:t>
      </w:r>
      <w:r w:rsidR="000762FD">
        <w:rPr>
          <w:rFonts w:ascii="Arial" w:hAnsi="Arial" w:cs="Arial"/>
          <w:sz w:val="20"/>
        </w:rPr>
        <w:t xml:space="preserve">Storage </w:t>
      </w:r>
      <w:r w:rsidRPr="00D30BC1">
        <w:rPr>
          <w:rFonts w:ascii="Arial" w:hAnsi="Arial" w:cs="Arial"/>
          <w:sz w:val="20"/>
        </w:rPr>
        <w:t xml:space="preserve">Resources, and Prospective </w:t>
      </w:r>
      <w:r w:rsidR="000762FD">
        <w:rPr>
          <w:rFonts w:ascii="Arial" w:hAnsi="Arial" w:cs="Arial"/>
          <w:sz w:val="20"/>
        </w:rPr>
        <w:t xml:space="preserve">Storage </w:t>
      </w:r>
      <w:r w:rsidRPr="00D30BC1">
        <w:rPr>
          <w:rFonts w:ascii="Arial" w:hAnsi="Arial" w:cs="Arial"/>
          <w:sz w:val="20"/>
        </w:rPr>
        <w:t xml:space="preserve">Resources, as well as </w:t>
      </w:r>
      <w:r w:rsidR="000762FD">
        <w:rPr>
          <w:rFonts w:ascii="Arial" w:hAnsi="Arial" w:cs="Arial"/>
          <w:sz w:val="20"/>
        </w:rPr>
        <w:t>Unexploitable</w:t>
      </w:r>
      <w:r>
        <w:rPr>
          <w:rFonts w:ascii="Arial" w:hAnsi="Arial" w:cs="Arial"/>
          <w:sz w:val="20"/>
        </w:rPr>
        <w:t xml:space="preserve"> </w:t>
      </w:r>
      <w:r w:rsidR="000762FD">
        <w:rPr>
          <w:rFonts w:ascii="Arial" w:hAnsi="Arial" w:cs="Arial"/>
          <w:sz w:val="20"/>
        </w:rPr>
        <w:t>S</w:t>
      </w:r>
      <w:r>
        <w:rPr>
          <w:rFonts w:ascii="Arial" w:hAnsi="Arial" w:cs="Arial"/>
          <w:sz w:val="20"/>
        </w:rPr>
        <w:t>torage</w:t>
      </w:r>
      <w:r w:rsidR="000762FD">
        <w:rPr>
          <w:rFonts w:ascii="Arial" w:hAnsi="Arial" w:cs="Arial"/>
          <w:sz w:val="20"/>
        </w:rPr>
        <w:t xml:space="preserve"> Resources</w:t>
      </w:r>
      <w:r w:rsidRPr="00D30BC1">
        <w:rPr>
          <w:rFonts w:ascii="Arial" w:hAnsi="Arial" w:cs="Arial"/>
          <w:sz w:val="20"/>
        </w:rPr>
        <w:t>.</w:t>
      </w:r>
    </w:p>
    <w:p w14:paraId="355C782E" w14:textId="77777777" w:rsidR="00233C40" w:rsidRPr="00D30BC1" w:rsidRDefault="00E87868" w:rsidP="00D30BC1">
      <w:pPr>
        <w:pStyle w:val="NormalWeb"/>
        <w:spacing w:before="120" w:beforeAutospacing="0"/>
        <w:jc w:val="center"/>
        <w:rPr>
          <w:color w:val="auto"/>
        </w:rPr>
      </w:pPr>
      <w:r w:rsidRPr="00A2619F">
        <w:rPr>
          <w:noProof/>
        </w:rPr>
        <w:drawing>
          <wp:inline distT="0" distB="0" distL="0" distR="0" wp14:anchorId="69F1355C" wp14:editId="6598EEC0">
            <wp:extent cx="5486400" cy="47110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4711065"/>
                    </a:xfrm>
                    <a:prstGeom prst="rect">
                      <a:avLst/>
                    </a:prstGeom>
                    <a:noFill/>
                    <a:ln>
                      <a:noFill/>
                    </a:ln>
                  </pic:spPr>
                </pic:pic>
              </a:graphicData>
            </a:graphic>
          </wp:inline>
        </w:drawing>
      </w:r>
    </w:p>
    <w:p w14:paraId="377B5773" w14:textId="77777777" w:rsidR="00233C40" w:rsidRPr="00D30BC1" w:rsidRDefault="00233C40" w:rsidP="00D30BC1">
      <w:pPr>
        <w:jc w:val="center"/>
        <w:rPr>
          <w:rFonts w:ascii="Arial" w:hAnsi="Arial" w:cs="Arial"/>
          <w:sz w:val="18"/>
        </w:rPr>
      </w:pPr>
      <w:r w:rsidRPr="00D30BC1">
        <w:rPr>
          <w:rFonts w:ascii="Arial" w:hAnsi="Arial" w:cs="Arial"/>
          <w:sz w:val="18"/>
        </w:rPr>
        <w:t>Figure 1-1: Resources Classification Framework.</w:t>
      </w:r>
    </w:p>
    <w:p w14:paraId="11D6AF59" w14:textId="77777777" w:rsidR="00233C40" w:rsidRPr="00D30BC1" w:rsidRDefault="00233C40" w:rsidP="00D30BC1">
      <w:pPr>
        <w:jc w:val="center"/>
        <w:rPr>
          <w:rFonts w:ascii="Arial" w:hAnsi="Arial" w:cs="Arial"/>
          <w:sz w:val="18"/>
        </w:rPr>
      </w:pPr>
    </w:p>
    <w:p w14:paraId="74119144" w14:textId="77777777" w:rsidR="00233C40" w:rsidRDefault="00233C40" w:rsidP="001642F3">
      <w:pPr>
        <w:jc w:val="both"/>
        <w:rPr>
          <w:rStyle w:val="header2green"/>
          <w:rFonts w:ascii="Arial" w:hAnsi="Arial" w:cs="Arial"/>
          <w:sz w:val="20"/>
        </w:rPr>
      </w:pPr>
      <w:r w:rsidRPr="00D30BC1">
        <w:rPr>
          <w:rFonts w:ascii="Arial" w:hAnsi="Arial" w:cs="Arial"/>
          <w:sz w:val="20"/>
        </w:rPr>
        <w:t xml:space="preserve">The </w:t>
      </w:r>
      <w:r w:rsidRPr="00D30BC1">
        <w:rPr>
          <w:rFonts w:cs="Arial"/>
          <w:sz w:val="18"/>
        </w:rPr>
        <w:t>“</w:t>
      </w:r>
      <w:r w:rsidRPr="00D30BC1">
        <w:rPr>
          <w:rFonts w:ascii="Arial" w:hAnsi="Arial" w:cs="Arial"/>
          <w:sz w:val="20"/>
        </w:rPr>
        <w:t>Range of Uncertainty</w:t>
      </w:r>
      <w:r w:rsidRPr="00D30BC1">
        <w:rPr>
          <w:rFonts w:cs="Arial"/>
          <w:sz w:val="18"/>
        </w:rPr>
        <w:t>”</w:t>
      </w:r>
      <w:r w:rsidRPr="00D30BC1">
        <w:rPr>
          <w:rFonts w:ascii="Arial" w:hAnsi="Arial" w:cs="Arial"/>
          <w:sz w:val="20"/>
        </w:rPr>
        <w:t xml:space="preserve"> reflects a range of </w:t>
      </w:r>
      <w:r w:rsidR="000762FD">
        <w:rPr>
          <w:rFonts w:ascii="Arial" w:hAnsi="Arial" w:cs="Arial"/>
          <w:sz w:val="20"/>
        </w:rPr>
        <w:t>storable quantities</w:t>
      </w:r>
      <w:r w:rsidR="000A16B3">
        <w:rPr>
          <w:rFonts w:ascii="Arial" w:hAnsi="Arial" w:cs="Arial"/>
          <w:sz w:val="20"/>
        </w:rPr>
        <w:t>, i.e. pore volume</w:t>
      </w:r>
      <w:r>
        <w:rPr>
          <w:rFonts w:ascii="Arial" w:hAnsi="Arial" w:cs="Arial"/>
          <w:sz w:val="20"/>
        </w:rPr>
        <w:t xml:space="preserve"> </w:t>
      </w:r>
      <w:r w:rsidRPr="00D30BC1">
        <w:rPr>
          <w:rFonts w:ascii="Arial" w:hAnsi="Arial" w:cs="Arial"/>
          <w:sz w:val="20"/>
        </w:rPr>
        <w:t xml:space="preserve">potentially </w:t>
      </w:r>
      <w:r>
        <w:rPr>
          <w:rFonts w:ascii="Arial" w:hAnsi="Arial" w:cs="Arial"/>
          <w:sz w:val="20"/>
        </w:rPr>
        <w:t>accessible within a geologic formation</w:t>
      </w:r>
      <w:r w:rsidRPr="00D30BC1">
        <w:rPr>
          <w:rFonts w:ascii="Arial" w:hAnsi="Arial" w:cs="Arial"/>
          <w:sz w:val="20"/>
        </w:rPr>
        <w:t xml:space="preserve"> by a project, while the vertical axis represents the </w:t>
      </w:r>
      <w:r w:rsidRPr="00D30BC1">
        <w:rPr>
          <w:rFonts w:cs="Arial"/>
          <w:sz w:val="18"/>
        </w:rPr>
        <w:t>“</w:t>
      </w:r>
      <w:r w:rsidRPr="00D30BC1">
        <w:rPr>
          <w:rFonts w:ascii="Arial" w:hAnsi="Arial" w:cs="Arial"/>
          <w:sz w:val="20"/>
        </w:rPr>
        <w:t>Chance of Commerciality</w:t>
      </w:r>
      <w:r>
        <w:rPr>
          <w:rFonts w:ascii="Arial" w:hAnsi="Arial" w:cs="Arial"/>
          <w:sz w:val="20"/>
        </w:rPr>
        <w:t>”</w:t>
      </w:r>
      <w:r w:rsidRPr="00D30BC1">
        <w:rPr>
          <w:rFonts w:ascii="Arial" w:hAnsi="Arial" w:cs="Arial"/>
          <w:sz w:val="20"/>
        </w:rPr>
        <w:t xml:space="preserve">, that is, the chance that the project will be developed and reach commercial </w:t>
      </w:r>
      <w:r>
        <w:rPr>
          <w:rFonts w:ascii="Arial" w:hAnsi="Arial" w:cs="Arial"/>
          <w:sz w:val="20"/>
        </w:rPr>
        <w:t>storage</w:t>
      </w:r>
      <w:r w:rsidRPr="00D30BC1">
        <w:rPr>
          <w:rFonts w:ascii="Arial" w:hAnsi="Arial" w:cs="Arial"/>
          <w:sz w:val="20"/>
        </w:rPr>
        <w:t xml:space="preserve"> status. </w:t>
      </w:r>
      <w:r w:rsidRPr="00D30BC1">
        <w:rPr>
          <w:rStyle w:val="header2green"/>
          <w:rFonts w:ascii="Arial" w:hAnsi="Arial" w:cs="Arial"/>
          <w:sz w:val="20"/>
        </w:rPr>
        <w:t>The following definitions apply to the major subdivisions within the resources classification:</w:t>
      </w:r>
    </w:p>
    <w:p w14:paraId="60FED6C9" w14:textId="77777777" w:rsidR="00233C40" w:rsidRPr="00631336" w:rsidRDefault="00233C40" w:rsidP="001642F3">
      <w:pPr>
        <w:jc w:val="both"/>
        <w:rPr>
          <w:rStyle w:val="header2green"/>
        </w:rPr>
      </w:pPr>
    </w:p>
    <w:p w14:paraId="2B82CB3E" w14:textId="77777777" w:rsidR="00233C40" w:rsidRPr="00593DDC" w:rsidRDefault="00233C40" w:rsidP="001642F3">
      <w:pPr>
        <w:ind w:left="360"/>
        <w:jc w:val="both"/>
        <w:rPr>
          <w:rFonts w:ascii="Arial" w:hAnsi="Arial" w:cs="Arial"/>
          <w:sz w:val="20"/>
          <w:szCs w:val="20"/>
        </w:rPr>
      </w:pPr>
      <w:r w:rsidRPr="00593DDC">
        <w:rPr>
          <w:rStyle w:val="header3burg"/>
          <w:rFonts w:ascii="Arial" w:hAnsi="Arial" w:cs="Arial"/>
          <w:b/>
          <w:bCs/>
          <w:sz w:val="20"/>
          <w:szCs w:val="20"/>
        </w:rPr>
        <w:t xml:space="preserve">TOTAL STORAGE </w:t>
      </w:r>
      <w:r>
        <w:rPr>
          <w:rStyle w:val="header3burg"/>
          <w:rFonts w:ascii="Arial" w:hAnsi="Arial" w:cs="Arial"/>
          <w:b/>
          <w:bCs/>
          <w:sz w:val="20"/>
          <w:szCs w:val="20"/>
        </w:rPr>
        <w:t>RESOURCES</w:t>
      </w:r>
      <w:r w:rsidRPr="00593DDC">
        <w:rPr>
          <w:rFonts w:ascii="Arial" w:hAnsi="Arial" w:cs="Arial"/>
          <w:b/>
          <w:bCs/>
          <w:sz w:val="20"/>
          <w:szCs w:val="20"/>
        </w:rPr>
        <w:t xml:space="preserve"> </w:t>
      </w:r>
      <w:r w:rsidRPr="00593DDC">
        <w:rPr>
          <w:rFonts w:ascii="Arial" w:hAnsi="Arial" w:cs="Arial"/>
          <w:sz w:val="20"/>
          <w:szCs w:val="20"/>
        </w:rPr>
        <w:t xml:space="preserve">is that </w:t>
      </w:r>
      <w:r w:rsidRPr="00E44628">
        <w:rPr>
          <w:rFonts w:ascii="Arial" w:hAnsi="Arial" w:cs="Arial"/>
          <w:sz w:val="20"/>
          <w:szCs w:val="20"/>
        </w:rPr>
        <w:t>quantity of storage estimated to exist in geologic formations. It includes that quantity of storage estimated, as of a given date, to be possible in known and characterized geologic formations prior to injection plus those estimated quantities in undiscovered or uncharacterized geologic formations.  (Total Storage Resource</w:t>
      </w:r>
      <w:r>
        <w:rPr>
          <w:rFonts w:ascii="Arial" w:hAnsi="Arial" w:cs="Arial"/>
          <w:sz w:val="20"/>
          <w:szCs w:val="20"/>
        </w:rPr>
        <w:t>s</w:t>
      </w:r>
      <w:r w:rsidRPr="00E44628">
        <w:rPr>
          <w:rFonts w:ascii="Arial" w:hAnsi="Arial" w:cs="Arial"/>
          <w:sz w:val="20"/>
          <w:szCs w:val="20"/>
        </w:rPr>
        <w:t xml:space="preserve"> is the sum of Discovered and Undiscovered Storage Resources.)</w:t>
      </w:r>
    </w:p>
    <w:p w14:paraId="53BBC46B" w14:textId="77777777" w:rsidR="00233C40" w:rsidRDefault="00233C40"/>
    <w:p w14:paraId="656B0DDE" w14:textId="77777777" w:rsidR="00233C40" w:rsidRPr="00D30BC1" w:rsidRDefault="00233C40" w:rsidP="001642F3">
      <w:pPr>
        <w:ind w:left="360"/>
        <w:jc w:val="both"/>
        <w:rPr>
          <w:rFonts w:ascii="Arial" w:hAnsi="Arial" w:cs="Arial"/>
          <w:sz w:val="20"/>
        </w:rPr>
      </w:pPr>
      <w:r w:rsidRPr="00D30BC1">
        <w:rPr>
          <w:rStyle w:val="header3burg"/>
          <w:rFonts w:ascii="Arial" w:hAnsi="Arial" w:cs="Arial"/>
          <w:b/>
          <w:bCs/>
          <w:sz w:val="20"/>
        </w:rPr>
        <w:t xml:space="preserve">DISCOVERED </w:t>
      </w:r>
      <w:r>
        <w:rPr>
          <w:rStyle w:val="header3burg"/>
          <w:rFonts w:ascii="Arial" w:hAnsi="Arial" w:cs="Arial"/>
          <w:b/>
          <w:bCs/>
          <w:sz w:val="20"/>
        </w:rPr>
        <w:t>STORAGE</w:t>
      </w:r>
      <w:r w:rsidRPr="00D30BC1" w:rsidDel="000C2DDE">
        <w:rPr>
          <w:rStyle w:val="header3burg"/>
          <w:rFonts w:ascii="Arial" w:hAnsi="Arial" w:cs="Arial"/>
          <w:b/>
          <w:bCs/>
          <w:sz w:val="20"/>
        </w:rPr>
        <w:t xml:space="preserve"> </w:t>
      </w:r>
      <w:r>
        <w:rPr>
          <w:rStyle w:val="header3burg"/>
          <w:rFonts w:ascii="Arial" w:hAnsi="Arial" w:cs="Arial"/>
          <w:b/>
          <w:bCs/>
          <w:sz w:val="20"/>
        </w:rPr>
        <w:t>RESOURCES</w:t>
      </w:r>
      <w:r w:rsidRPr="00D30BC1">
        <w:rPr>
          <w:rFonts w:ascii="Arial" w:hAnsi="Arial" w:cs="Arial"/>
          <w:b/>
          <w:bCs/>
          <w:sz w:val="20"/>
        </w:rPr>
        <w:t xml:space="preserve"> </w:t>
      </w:r>
      <w:r w:rsidRPr="00D30BC1">
        <w:rPr>
          <w:rFonts w:ascii="Arial" w:hAnsi="Arial" w:cs="Arial"/>
          <w:sz w:val="20"/>
        </w:rPr>
        <w:t>i</w:t>
      </w:r>
      <w:r>
        <w:rPr>
          <w:rFonts w:ascii="Arial" w:hAnsi="Arial" w:cs="Arial"/>
          <w:sz w:val="20"/>
        </w:rPr>
        <w:t xml:space="preserve">s the estimated </w:t>
      </w:r>
      <w:r w:rsidRPr="00D30BC1">
        <w:rPr>
          <w:rFonts w:ascii="Arial" w:hAnsi="Arial" w:cs="Arial"/>
          <w:sz w:val="20"/>
        </w:rPr>
        <w:t xml:space="preserve">quantity of </w:t>
      </w:r>
      <w:r>
        <w:rPr>
          <w:rFonts w:ascii="Arial" w:hAnsi="Arial" w:cs="Arial"/>
          <w:sz w:val="20"/>
          <w:szCs w:val="20"/>
        </w:rPr>
        <w:t>Total Storage Resources,</w:t>
      </w:r>
      <w:r w:rsidRPr="00D30BC1">
        <w:rPr>
          <w:rFonts w:ascii="Arial" w:hAnsi="Arial" w:cs="Arial"/>
          <w:sz w:val="20"/>
        </w:rPr>
        <w:t xml:space="preserve"> as of a given date, </w:t>
      </w:r>
      <w:r>
        <w:rPr>
          <w:rFonts w:ascii="Arial" w:hAnsi="Arial" w:cs="Arial"/>
          <w:sz w:val="20"/>
        </w:rPr>
        <w:t>where the potential for storage has been ascertained within an assessed geologic formation</w:t>
      </w:r>
      <w:r w:rsidRPr="00D30BC1">
        <w:rPr>
          <w:rFonts w:ascii="Arial" w:hAnsi="Arial" w:cs="Arial"/>
          <w:sz w:val="20"/>
        </w:rPr>
        <w:t xml:space="preserve">. </w:t>
      </w:r>
    </w:p>
    <w:p w14:paraId="56FFE50C" w14:textId="77777777" w:rsidR="00233C40" w:rsidRDefault="00233C40"/>
    <w:p w14:paraId="3202F0AD" w14:textId="77777777" w:rsidR="00233C40" w:rsidRPr="00593DDC" w:rsidRDefault="00233C40" w:rsidP="001642F3">
      <w:pPr>
        <w:ind w:left="720"/>
        <w:jc w:val="both"/>
      </w:pPr>
      <w:r>
        <w:rPr>
          <w:rStyle w:val="header3burg"/>
          <w:rFonts w:ascii="Arial" w:hAnsi="Arial" w:cs="Arial"/>
          <w:b/>
          <w:bCs/>
          <w:sz w:val="20"/>
        </w:rPr>
        <w:t>STORED</w:t>
      </w:r>
      <w:r w:rsidRPr="00D30BC1">
        <w:rPr>
          <w:rStyle w:val="header3burg"/>
          <w:rFonts w:ascii="Arial" w:hAnsi="Arial" w:cs="Arial"/>
          <w:b/>
          <w:bCs/>
          <w:sz w:val="20"/>
        </w:rPr>
        <w:t xml:space="preserve"> </w:t>
      </w:r>
      <w:r w:rsidRPr="00D30BC1">
        <w:rPr>
          <w:rStyle w:val="header3burg"/>
          <w:rFonts w:ascii="Arial" w:hAnsi="Arial" w:cs="Arial"/>
          <w:sz w:val="20"/>
        </w:rPr>
        <w:t xml:space="preserve">is </w:t>
      </w:r>
      <w:r w:rsidRPr="00E44628">
        <w:rPr>
          <w:rStyle w:val="header3burg"/>
          <w:rFonts w:ascii="Arial" w:hAnsi="Arial" w:cs="Arial"/>
          <w:sz w:val="20"/>
        </w:rPr>
        <w:t>the cumulative quantity of Discovered Storage Resources that have been previously exploited by a given date: this equates to the quantity of CO</w:t>
      </w:r>
      <w:r w:rsidRPr="00E44628">
        <w:rPr>
          <w:rStyle w:val="header3burg"/>
          <w:rFonts w:ascii="Arial" w:hAnsi="Arial" w:cs="Arial"/>
          <w:sz w:val="20"/>
          <w:vertAlign w:val="subscript"/>
        </w:rPr>
        <w:t>2</w:t>
      </w:r>
      <w:r w:rsidRPr="00E44628">
        <w:rPr>
          <w:rStyle w:val="header3burg"/>
          <w:rFonts w:ascii="Arial" w:hAnsi="Arial" w:cs="Arial"/>
          <w:sz w:val="20"/>
        </w:rPr>
        <w:t xml:space="preserve"> injected and stored. While all </w:t>
      </w:r>
      <w:r>
        <w:rPr>
          <w:rStyle w:val="header3burg"/>
          <w:rFonts w:ascii="Arial" w:hAnsi="Arial" w:cs="Arial"/>
          <w:sz w:val="20"/>
        </w:rPr>
        <w:t>S</w:t>
      </w:r>
      <w:r w:rsidRPr="00E44628">
        <w:rPr>
          <w:rStyle w:val="header3burg"/>
          <w:rFonts w:ascii="Arial" w:hAnsi="Arial" w:cs="Arial"/>
          <w:sz w:val="20"/>
        </w:rPr>
        <w:t xml:space="preserve">torage </w:t>
      </w:r>
      <w:r>
        <w:rPr>
          <w:rStyle w:val="header3burg"/>
          <w:rFonts w:ascii="Arial" w:hAnsi="Arial" w:cs="Arial"/>
          <w:sz w:val="20"/>
        </w:rPr>
        <w:t>R</w:t>
      </w:r>
      <w:r w:rsidRPr="00E44628">
        <w:rPr>
          <w:rStyle w:val="header3burg"/>
          <w:rFonts w:ascii="Arial" w:hAnsi="Arial" w:cs="Arial"/>
          <w:sz w:val="20"/>
        </w:rPr>
        <w:t>esources are estimated</w:t>
      </w:r>
      <w:r w:rsidR="00FF3932">
        <w:rPr>
          <w:rStyle w:val="header3burg"/>
          <w:rFonts w:ascii="Arial" w:hAnsi="Arial" w:cs="Arial"/>
          <w:sz w:val="20"/>
        </w:rPr>
        <w:t xml:space="preserve">, </w:t>
      </w:r>
      <w:r w:rsidRPr="00E44628">
        <w:rPr>
          <w:rStyle w:val="header3burg"/>
          <w:rFonts w:ascii="Arial" w:hAnsi="Arial" w:cs="Arial"/>
          <w:sz w:val="20"/>
        </w:rPr>
        <w:t xml:space="preserve">and </w:t>
      </w:r>
      <w:r>
        <w:rPr>
          <w:rStyle w:val="header3burg"/>
          <w:rFonts w:ascii="Arial" w:hAnsi="Arial" w:cs="Arial"/>
          <w:sz w:val="20"/>
        </w:rPr>
        <w:t>S</w:t>
      </w:r>
      <w:r w:rsidRPr="00E44628">
        <w:rPr>
          <w:rStyle w:val="header3burg"/>
          <w:rFonts w:ascii="Arial" w:hAnsi="Arial" w:cs="Arial"/>
          <w:sz w:val="20"/>
        </w:rPr>
        <w:t>tore</w:t>
      </w:r>
      <w:r>
        <w:rPr>
          <w:rStyle w:val="header3burg"/>
          <w:rFonts w:ascii="Arial" w:hAnsi="Arial" w:cs="Arial"/>
          <w:sz w:val="20"/>
        </w:rPr>
        <w:t>d</w:t>
      </w:r>
      <w:r w:rsidRPr="00E44628">
        <w:rPr>
          <w:rStyle w:val="header3burg"/>
          <w:rFonts w:ascii="Arial" w:hAnsi="Arial" w:cs="Arial"/>
          <w:sz w:val="20"/>
        </w:rPr>
        <w:t xml:space="preserve"> is measured in terms of CO</w:t>
      </w:r>
      <w:r w:rsidRPr="00E44628">
        <w:rPr>
          <w:rStyle w:val="header3burg"/>
          <w:rFonts w:ascii="Arial" w:hAnsi="Arial" w:cs="Arial"/>
          <w:sz w:val="20"/>
          <w:vertAlign w:val="subscript"/>
        </w:rPr>
        <w:t>2</w:t>
      </w:r>
      <w:r w:rsidRPr="00E44628">
        <w:rPr>
          <w:rStyle w:val="header3burg"/>
          <w:rFonts w:ascii="Arial" w:hAnsi="Arial" w:cs="Arial"/>
          <w:sz w:val="20"/>
        </w:rPr>
        <w:t xml:space="preserve"> metering specifications, the total injection quantities (CO</w:t>
      </w:r>
      <w:r w:rsidRPr="00E44628">
        <w:rPr>
          <w:rStyle w:val="header3burg"/>
          <w:rFonts w:ascii="Arial" w:hAnsi="Arial" w:cs="Arial"/>
          <w:sz w:val="20"/>
          <w:vertAlign w:val="subscript"/>
        </w:rPr>
        <w:t>2</w:t>
      </w:r>
      <w:r w:rsidRPr="00E44628">
        <w:rPr>
          <w:rStyle w:val="header3burg"/>
          <w:rFonts w:ascii="Arial" w:hAnsi="Arial" w:cs="Arial"/>
          <w:sz w:val="20"/>
        </w:rPr>
        <w:t xml:space="preserve"> plus associated injectants) are also measured as required in support of engineering analyses.</w:t>
      </w:r>
    </w:p>
    <w:p w14:paraId="35D7E53B" w14:textId="77777777" w:rsidR="00233C40" w:rsidRPr="000A16B3" w:rsidRDefault="00233C40" w:rsidP="00D30BC1">
      <w:pPr>
        <w:ind w:left="720"/>
        <w:jc w:val="both"/>
        <w:rPr>
          <w:rFonts w:ascii="Arial" w:hAnsi="Arial" w:cs="Arial"/>
          <w:iCs/>
          <w:sz w:val="20"/>
        </w:rPr>
      </w:pPr>
    </w:p>
    <w:p w14:paraId="3681CDBE" w14:textId="77777777" w:rsidR="00233C40" w:rsidRPr="00593DDC" w:rsidRDefault="00233C40" w:rsidP="001642F3">
      <w:pPr>
        <w:jc w:val="both"/>
      </w:pPr>
      <w:r w:rsidRPr="00631336">
        <w:rPr>
          <w:rFonts w:ascii="Arial" w:hAnsi="Arial" w:cs="Arial"/>
          <w:sz w:val="20"/>
          <w:szCs w:val="20"/>
        </w:rPr>
        <w:t>Multiple development projects may be applied to each known geologic formation, and each project will</w:t>
      </w:r>
      <w:r w:rsidR="000A16B3">
        <w:rPr>
          <w:rFonts w:ascii="Arial" w:hAnsi="Arial" w:cs="Arial"/>
          <w:sz w:val="20"/>
          <w:szCs w:val="20"/>
        </w:rPr>
        <w:t xml:space="preserve"> use</w:t>
      </w:r>
      <w:r w:rsidRPr="00631336">
        <w:rPr>
          <w:rFonts w:ascii="Arial" w:hAnsi="Arial" w:cs="Arial"/>
          <w:sz w:val="20"/>
          <w:szCs w:val="20"/>
        </w:rPr>
        <w:t xml:space="preserve"> a portion of the </w:t>
      </w:r>
      <w:r w:rsidR="000A16B3">
        <w:rPr>
          <w:rFonts w:ascii="Arial" w:hAnsi="Arial" w:cs="Arial"/>
          <w:sz w:val="20"/>
          <w:szCs w:val="20"/>
        </w:rPr>
        <w:t xml:space="preserve">storable quantities </w:t>
      </w:r>
      <w:r w:rsidR="000A16B3" w:rsidRPr="00631336">
        <w:rPr>
          <w:rFonts w:ascii="Arial" w:hAnsi="Arial" w:cs="Arial"/>
          <w:sz w:val="20"/>
          <w:szCs w:val="20"/>
        </w:rPr>
        <w:t xml:space="preserve">estimated </w:t>
      </w:r>
      <w:r w:rsidR="000A16B3">
        <w:rPr>
          <w:rFonts w:ascii="Arial" w:hAnsi="Arial" w:cs="Arial"/>
          <w:sz w:val="20"/>
          <w:szCs w:val="20"/>
        </w:rPr>
        <w:t>for the geologic formation</w:t>
      </w:r>
      <w:r w:rsidRPr="00631336">
        <w:rPr>
          <w:rFonts w:ascii="Arial" w:hAnsi="Arial" w:cs="Arial"/>
          <w:sz w:val="20"/>
          <w:szCs w:val="20"/>
        </w:rPr>
        <w:t xml:space="preserve">. The projects shall be subdivided into </w:t>
      </w:r>
      <w:r w:rsidRPr="002F639D">
        <w:rPr>
          <w:rFonts w:ascii="Arial" w:hAnsi="Arial" w:cs="Arial"/>
          <w:sz w:val="20"/>
          <w:szCs w:val="20"/>
        </w:rPr>
        <w:t>Commercial and Sub-Commercial</w:t>
      </w:r>
      <w:r w:rsidRPr="00631336">
        <w:rPr>
          <w:rFonts w:ascii="Arial" w:hAnsi="Arial" w:cs="Arial"/>
          <w:sz w:val="20"/>
          <w:szCs w:val="20"/>
        </w:rPr>
        <w:t xml:space="preserve">, with the estimated storable quantities being classified as </w:t>
      </w:r>
      <w:r w:rsidRPr="002F639D">
        <w:rPr>
          <w:rFonts w:ascii="Arial" w:hAnsi="Arial" w:cs="Arial"/>
          <w:sz w:val="20"/>
          <w:szCs w:val="20"/>
        </w:rPr>
        <w:t xml:space="preserve">Capacity and Contingent </w:t>
      </w:r>
      <w:r>
        <w:rPr>
          <w:rFonts w:ascii="Arial" w:hAnsi="Arial" w:cs="Arial"/>
          <w:sz w:val="20"/>
          <w:szCs w:val="20"/>
        </w:rPr>
        <w:t xml:space="preserve">Storage </w:t>
      </w:r>
      <w:r w:rsidRPr="002F639D">
        <w:rPr>
          <w:rFonts w:ascii="Arial" w:hAnsi="Arial" w:cs="Arial"/>
          <w:sz w:val="20"/>
          <w:szCs w:val="20"/>
        </w:rPr>
        <w:t>Resources</w:t>
      </w:r>
      <w:r w:rsidRPr="00631336">
        <w:rPr>
          <w:rFonts w:ascii="Arial" w:hAnsi="Arial" w:cs="Arial"/>
          <w:sz w:val="20"/>
          <w:szCs w:val="20"/>
        </w:rPr>
        <w:t xml:space="preserve"> respectively, as defined below.</w:t>
      </w:r>
    </w:p>
    <w:p w14:paraId="2CBECC8A" w14:textId="77777777" w:rsidR="00233C40" w:rsidRPr="00D30BC1" w:rsidRDefault="00233C40" w:rsidP="00D30BC1">
      <w:pPr>
        <w:ind w:left="720"/>
        <w:rPr>
          <w:rFonts w:ascii="Arial" w:hAnsi="Arial" w:cs="Arial"/>
          <w:i/>
          <w:iCs/>
          <w:sz w:val="20"/>
        </w:rPr>
      </w:pPr>
    </w:p>
    <w:p w14:paraId="2EB98DCB" w14:textId="77777777" w:rsidR="00233C40" w:rsidRPr="00593DDC" w:rsidRDefault="00233C40" w:rsidP="001642F3">
      <w:pPr>
        <w:ind w:left="720"/>
        <w:jc w:val="both"/>
      </w:pPr>
      <w:r>
        <w:rPr>
          <w:rStyle w:val="header3burg"/>
          <w:rFonts w:ascii="Arial" w:hAnsi="Arial" w:cs="Arial"/>
          <w:b/>
          <w:bCs/>
          <w:sz w:val="20"/>
        </w:rPr>
        <w:t>CAPACITY</w:t>
      </w:r>
      <w:r w:rsidRPr="00D30BC1">
        <w:rPr>
          <w:rFonts w:ascii="Arial" w:hAnsi="Arial" w:cs="Arial"/>
          <w:b/>
          <w:bCs/>
          <w:sz w:val="20"/>
        </w:rPr>
        <w:t xml:space="preserve"> </w:t>
      </w:r>
      <w:r w:rsidRPr="00D30BC1">
        <w:rPr>
          <w:rFonts w:ascii="Arial" w:hAnsi="Arial" w:cs="Arial"/>
          <w:sz w:val="20"/>
        </w:rPr>
        <w:t xml:space="preserve">are those quantities of </w:t>
      </w:r>
      <w:r w:rsidRPr="00A20D7F">
        <w:rPr>
          <w:rFonts w:ascii="Arial" w:hAnsi="Arial" w:cs="Arial"/>
          <w:sz w:val="20"/>
        </w:rPr>
        <w:t>Total Storage Resources anticipated to be commercially exploit</w:t>
      </w:r>
      <w:r w:rsidR="000F699E">
        <w:rPr>
          <w:rFonts w:ascii="Arial" w:hAnsi="Arial" w:cs="Arial"/>
          <w:sz w:val="20"/>
        </w:rPr>
        <w:t>able</w:t>
      </w:r>
      <w:r w:rsidRPr="00A20D7F">
        <w:rPr>
          <w:rFonts w:ascii="Arial" w:hAnsi="Arial" w:cs="Arial"/>
          <w:sz w:val="20"/>
        </w:rPr>
        <w:t xml:space="preserve"> in the target geologic formation by application of development projects to known geologic formations from a given date forward under defined conditions. Commercial Storage Resources must further satisfy five criteria: the target geologic formation must be discovered, it must be possible to inject at the required rates, the development project must be commercial, the project permitted, and the storage resource must be remaining (as of the evaluation date) based on the development project(s) applied. Commercial Storage Resources are further categorized in accordance with the level of certainty associated with the estimates and may be sub-classified based on project maturity and/or characterized by development and injection status.</w:t>
      </w:r>
    </w:p>
    <w:p w14:paraId="1F817F69" w14:textId="77777777" w:rsidR="00233C40" w:rsidRDefault="00233C40"/>
    <w:p w14:paraId="4601B0BE" w14:textId="77777777" w:rsidR="00233C40" w:rsidRPr="00575EC1" w:rsidRDefault="00233C40" w:rsidP="001642F3">
      <w:pPr>
        <w:ind w:left="720"/>
        <w:jc w:val="both"/>
      </w:pPr>
      <w:r w:rsidRPr="00A20D7F">
        <w:rPr>
          <w:rStyle w:val="header3burg"/>
          <w:rFonts w:ascii="Arial" w:hAnsi="Arial" w:cs="Arial"/>
          <w:b/>
          <w:bCs/>
          <w:sz w:val="20"/>
        </w:rPr>
        <w:t>CONTINGENT RESOURCES</w:t>
      </w:r>
      <w:r w:rsidRPr="00D30BC1">
        <w:rPr>
          <w:rStyle w:val="header3burg"/>
          <w:rFonts w:ascii="Arial" w:hAnsi="Arial" w:cs="Arial"/>
          <w:b/>
          <w:bCs/>
          <w:sz w:val="20"/>
        </w:rPr>
        <w:t xml:space="preserve"> </w:t>
      </w:r>
      <w:r w:rsidRPr="00D30BC1">
        <w:rPr>
          <w:rFonts w:ascii="Arial" w:hAnsi="Arial" w:cs="Arial"/>
          <w:sz w:val="20"/>
        </w:rPr>
        <w:t xml:space="preserve">are those quantities </w:t>
      </w:r>
      <w:r>
        <w:rPr>
          <w:rFonts w:ascii="Arial" w:hAnsi="Arial" w:cs="Arial"/>
          <w:sz w:val="20"/>
        </w:rPr>
        <w:t xml:space="preserve">of </w:t>
      </w:r>
      <w:r w:rsidRPr="00A20D7F">
        <w:rPr>
          <w:rFonts w:ascii="Arial" w:hAnsi="Arial" w:cs="Arial"/>
          <w:sz w:val="20"/>
        </w:rPr>
        <w:t xml:space="preserve">Total Storage Resources estimated, as of a given date, to be potentially exploitable in known geologic formations, but the applied project(s) are not yet considered mature enough for commercial development due to one or more contingencies. Contingent Storage Resources must be discovered </w:t>
      </w:r>
      <w:r>
        <w:rPr>
          <w:rFonts w:ascii="Arial" w:hAnsi="Arial" w:cs="Arial"/>
          <w:sz w:val="20"/>
        </w:rPr>
        <w:t xml:space="preserve">(characterized) </w:t>
      </w:r>
      <w:r w:rsidRPr="00A20D7F">
        <w:rPr>
          <w:rFonts w:ascii="Arial" w:hAnsi="Arial" w:cs="Arial"/>
          <w:sz w:val="20"/>
        </w:rPr>
        <w:t>and may include, for example, projects for which there are currently no viable CO</w:t>
      </w:r>
      <w:r w:rsidRPr="00A20D7F">
        <w:rPr>
          <w:rFonts w:ascii="Arial" w:hAnsi="Arial" w:cs="Arial"/>
          <w:sz w:val="20"/>
          <w:vertAlign w:val="subscript"/>
        </w:rPr>
        <w:t>2</w:t>
      </w:r>
      <w:r w:rsidRPr="00A20D7F">
        <w:rPr>
          <w:rFonts w:ascii="Arial" w:hAnsi="Arial" w:cs="Arial"/>
          <w:sz w:val="20"/>
        </w:rPr>
        <w:t xml:space="preserve"> sources, project value is insufficient to support development, permitting is still incomplete, commercial storage is dependent on technology under development, management is not committed or evaluation of the geologic formation is insufficient to clearly assess commerciality. Contingent Storage Resources are further categorized in accordance with the level of certainty associated with the estimates and may be sub-classified based on project maturity and/or characterized by their economic status and permitting/stakeholder status.</w:t>
      </w:r>
      <w:r w:rsidRPr="00D30BC1">
        <w:rPr>
          <w:rFonts w:ascii="Arial" w:hAnsi="Arial" w:cs="Arial"/>
          <w:i/>
          <w:iCs/>
          <w:sz w:val="20"/>
        </w:rPr>
        <w:t xml:space="preserve"> </w:t>
      </w:r>
    </w:p>
    <w:p w14:paraId="49E63B72" w14:textId="77777777" w:rsidR="00233C40" w:rsidRDefault="00233C40" w:rsidP="001642F3">
      <w:pPr>
        <w:jc w:val="both"/>
      </w:pPr>
    </w:p>
    <w:p w14:paraId="208356C3" w14:textId="77777777" w:rsidR="00233C40" w:rsidRPr="00575EC1" w:rsidRDefault="00233C40" w:rsidP="001642F3">
      <w:pPr>
        <w:jc w:val="both"/>
      </w:pPr>
      <w:r w:rsidRPr="00D30BC1">
        <w:rPr>
          <w:rStyle w:val="header3burg"/>
          <w:rFonts w:ascii="Arial" w:hAnsi="Arial" w:cs="Arial"/>
          <w:b/>
          <w:bCs/>
          <w:sz w:val="20"/>
        </w:rPr>
        <w:t xml:space="preserve">UNDISCOVERED </w:t>
      </w:r>
      <w:r>
        <w:rPr>
          <w:rStyle w:val="header3burg"/>
          <w:rFonts w:ascii="Arial" w:hAnsi="Arial" w:cs="Arial"/>
          <w:b/>
          <w:bCs/>
          <w:sz w:val="20"/>
        </w:rPr>
        <w:t>STORAGE</w:t>
      </w:r>
      <w:r w:rsidRPr="00D30BC1" w:rsidDel="000C2DDE">
        <w:rPr>
          <w:rStyle w:val="header3burg"/>
          <w:rFonts w:ascii="Arial" w:hAnsi="Arial" w:cs="Arial"/>
          <w:b/>
          <w:bCs/>
          <w:sz w:val="20"/>
        </w:rPr>
        <w:t xml:space="preserve"> </w:t>
      </w:r>
      <w:r>
        <w:rPr>
          <w:rStyle w:val="header3burg"/>
          <w:rFonts w:ascii="Arial" w:hAnsi="Arial" w:cs="Arial"/>
          <w:b/>
          <w:bCs/>
          <w:sz w:val="20"/>
        </w:rPr>
        <w:t>RESOURCES</w:t>
      </w:r>
      <w:r w:rsidRPr="00A20D7F">
        <w:rPr>
          <w:rFonts w:ascii="Arial" w:hAnsi="Arial" w:cs="Arial"/>
          <w:bCs/>
          <w:sz w:val="20"/>
        </w:rPr>
        <w:t xml:space="preserve"> are</w:t>
      </w:r>
      <w:r w:rsidRPr="00A20D7F">
        <w:rPr>
          <w:rFonts w:ascii="Arial" w:hAnsi="Arial" w:cs="Arial"/>
          <w:sz w:val="20"/>
        </w:rPr>
        <w:t xml:space="preserve"> </w:t>
      </w:r>
      <w:r w:rsidRPr="00D30BC1">
        <w:rPr>
          <w:rFonts w:ascii="Arial" w:hAnsi="Arial" w:cs="Arial"/>
          <w:sz w:val="20"/>
        </w:rPr>
        <w:t>th</w:t>
      </w:r>
      <w:r>
        <w:rPr>
          <w:rFonts w:ascii="Arial" w:hAnsi="Arial" w:cs="Arial"/>
          <w:sz w:val="20"/>
        </w:rPr>
        <w:t xml:space="preserve">e estimated </w:t>
      </w:r>
      <w:r w:rsidRPr="00D30BC1">
        <w:rPr>
          <w:rFonts w:ascii="Arial" w:hAnsi="Arial" w:cs="Arial"/>
          <w:sz w:val="20"/>
        </w:rPr>
        <w:t xml:space="preserve">quantity </w:t>
      </w:r>
      <w:r w:rsidRPr="00A20D7F">
        <w:rPr>
          <w:rFonts w:ascii="Arial" w:hAnsi="Arial" w:cs="Arial"/>
          <w:sz w:val="20"/>
        </w:rPr>
        <w:t>of Total Storage Resources, as of a given date, where the suitability for storage has not been ascertained within the target geologic formation</w:t>
      </w:r>
      <w:r w:rsidRPr="00D30BC1">
        <w:rPr>
          <w:rFonts w:ascii="Arial" w:hAnsi="Arial" w:cs="Arial"/>
          <w:sz w:val="20"/>
        </w:rPr>
        <w:t xml:space="preserve">. </w:t>
      </w:r>
    </w:p>
    <w:p w14:paraId="69A44237" w14:textId="77777777" w:rsidR="00233C40" w:rsidRDefault="00233C40"/>
    <w:p w14:paraId="5D8D2DD7" w14:textId="77777777" w:rsidR="00233C40" w:rsidRPr="00D30BC1" w:rsidRDefault="00233C40" w:rsidP="00D30BC1">
      <w:pPr>
        <w:ind w:left="720"/>
        <w:jc w:val="both"/>
        <w:rPr>
          <w:rFonts w:ascii="Arial" w:hAnsi="Arial" w:cs="Arial"/>
          <w:sz w:val="20"/>
        </w:rPr>
      </w:pPr>
      <w:r w:rsidRPr="00A20D7F">
        <w:rPr>
          <w:rStyle w:val="header3burg"/>
          <w:rFonts w:ascii="Arial" w:hAnsi="Arial" w:cs="Arial"/>
          <w:b/>
          <w:bCs/>
          <w:sz w:val="20"/>
        </w:rPr>
        <w:t xml:space="preserve">PROSPECTIVE </w:t>
      </w:r>
      <w:r w:rsidRPr="00A20D7F">
        <w:rPr>
          <w:rStyle w:val="header3burg"/>
          <w:rFonts w:ascii="Arial" w:hAnsi="Arial" w:cs="Arial"/>
          <w:b/>
          <w:sz w:val="20"/>
        </w:rPr>
        <w:t>RESOURCES</w:t>
      </w:r>
      <w:r w:rsidRPr="00D30BC1">
        <w:rPr>
          <w:rStyle w:val="header3burg"/>
          <w:rFonts w:ascii="Arial" w:hAnsi="Arial" w:cs="Arial"/>
          <w:sz w:val="20"/>
        </w:rPr>
        <w:t xml:space="preserve"> </w:t>
      </w:r>
      <w:r>
        <w:rPr>
          <w:rStyle w:val="header3burg"/>
          <w:rFonts w:ascii="Arial" w:hAnsi="Arial" w:cs="Arial"/>
          <w:sz w:val="20"/>
        </w:rPr>
        <w:t xml:space="preserve">are the </w:t>
      </w:r>
      <w:r w:rsidRPr="00A20D7F">
        <w:rPr>
          <w:rFonts w:ascii="Arial" w:hAnsi="Arial" w:cs="Arial"/>
          <w:sz w:val="20"/>
        </w:rPr>
        <w:t>quantity of Undiscovered Storage Resources estimated, as of a given date, to be potentially exploitable within undiscovered geologic formations</w:t>
      </w:r>
      <w:r>
        <w:rPr>
          <w:rFonts w:ascii="Arial" w:hAnsi="Arial" w:cs="Arial"/>
          <w:sz w:val="20"/>
        </w:rPr>
        <w:t xml:space="preserve"> or uncharacterized parts of discovered geologic formations</w:t>
      </w:r>
      <w:r w:rsidRPr="00A20D7F">
        <w:rPr>
          <w:rFonts w:ascii="Arial" w:hAnsi="Arial" w:cs="Arial"/>
          <w:sz w:val="20"/>
        </w:rPr>
        <w:t xml:space="preserve"> by application of future exploration/development projects. Prospective Storage Resources have both an associated chance of discovery and a chance of development. Prospective Storage Resources are further subdivided in accordance with the level of certainty associated with exploitable estimates assuming their discovery and development and may be sub-classified based on project maturity.</w:t>
      </w:r>
    </w:p>
    <w:p w14:paraId="0C248699" w14:textId="77777777" w:rsidR="00233C40" w:rsidRDefault="00233C40"/>
    <w:p w14:paraId="704C47DD" w14:textId="77777777" w:rsidR="00233C40" w:rsidRPr="00D30BC1" w:rsidRDefault="00233C40" w:rsidP="00D30BC1">
      <w:pPr>
        <w:ind w:left="360"/>
        <w:jc w:val="both"/>
        <w:rPr>
          <w:rFonts w:ascii="Arial" w:hAnsi="Arial" w:cs="Arial"/>
          <w:sz w:val="20"/>
        </w:rPr>
      </w:pPr>
      <w:r>
        <w:rPr>
          <w:rStyle w:val="header3burg"/>
          <w:rFonts w:ascii="Arial" w:hAnsi="Arial" w:cs="Arial"/>
          <w:b/>
          <w:bCs/>
          <w:sz w:val="20"/>
        </w:rPr>
        <w:t xml:space="preserve">UNEXPLOITABLE STORAGE RESOURCES </w:t>
      </w:r>
      <w:r>
        <w:rPr>
          <w:rStyle w:val="header3burg"/>
          <w:rFonts w:ascii="Arial" w:hAnsi="Arial" w:cs="Arial"/>
          <w:bCs/>
          <w:sz w:val="20"/>
        </w:rPr>
        <w:t>are the</w:t>
      </w:r>
      <w:r w:rsidRPr="00D30BC1">
        <w:rPr>
          <w:rFonts w:ascii="Arial" w:eastAsia="Arial Unicode MS" w:hAnsi="Arial" w:cs="Arial"/>
          <w:sz w:val="20"/>
          <w:szCs w:val="22"/>
        </w:rPr>
        <w:t xml:space="preserve"> portion of Discovered or Undiscovered </w:t>
      </w:r>
      <w:r w:rsidRPr="00E877E8">
        <w:rPr>
          <w:rFonts w:ascii="Arial" w:eastAsia="Arial Unicode MS" w:hAnsi="Arial" w:cs="Arial"/>
          <w:sz w:val="20"/>
          <w:szCs w:val="22"/>
        </w:rPr>
        <w:t>Storage Resources, which are estimated, as of a given date, not usable by future storage development projects.  A portion of these Unexploitable Storage Resources may be used for storage in the future as commercial or regulatory circumstances change or technological developments occur; the remaining portion may never be used for storage due to physical/societal constraints of the storage location, both surface and subsurface.</w:t>
      </w:r>
      <w:r w:rsidRPr="00D30BC1">
        <w:rPr>
          <w:rFonts w:ascii="Arial" w:eastAsia="Arial Unicode MS" w:hAnsi="Arial" w:cs="Arial"/>
          <w:sz w:val="20"/>
          <w:szCs w:val="22"/>
        </w:rPr>
        <w:t xml:space="preserve"> </w:t>
      </w:r>
    </w:p>
    <w:p w14:paraId="396DD089" w14:textId="77777777" w:rsidR="00233C40" w:rsidRDefault="00233C40"/>
    <w:p w14:paraId="44E5FD4C" w14:textId="77777777" w:rsidR="00233C40" w:rsidRDefault="00233C40" w:rsidP="00D67BF1">
      <w:pPr>
        <w:jc w:val="both"/>
      </w:pPr>
      <w:r w:rsidRPr="00D30BC1">
        <w:rPr>
          <w:rStyle w:val="header3burg"/>
          <w:rFonts w:ascii="Arial" w:hAnsi="Arial" w:cs="Arial"/>
          <w:sz w:val="20"/>
        </w:rPr>
        <w:t xml:space="preserve">Estimated Ultimate </w:t>
      </w:r>
      <w:r>
        <w:rPr>
          <w:rStyle w:val="header3burg"/>
          <w:rFonts w:ascii="Arial" w:hAnsi="Arial" w:cs="Arial"/>
          <w:sz w:val="20"/>
        </w:rPr>
        <w:t>Storage</w:t>
      </w:r>
      <w:r w:rsidRPr="00D30BC1">
        <w:rPr>
          <w:rFonts w:ascii="Arial" w:hAnsi="Arial" w:cs="Arial"/>
          <w:sz w:val="20"/>
        </w:rPr>
        <w:t xml:space="preserve"> (EU</w:t>
      </w:r>
      <w:r>
        <w:rPr>
          <w:rFonts w:ascii="Arial" w:hAnsi="Arial" w:cs="Arial"/>
          <w:sz w:val="20"/>
        </w:rPr>
        <w:t>S</w:t>
      </w:r>
      <w:r w:rsidRPr="00D30BC1">
        <w:rPr>
          <w:rFonts w:ascii="Arial" w:hAnsi="Arial" w:cs="Arial"/>
          <w:sz w:val="20"/>
        </w:rPr>
        <w:t xml:space="preserve">) is not a resources category, but a term that may be applied to any </w:t>
      </w:r>
      <w:r>
        <w:rPr>
          <w:rFonts w:ascii="Arial" w:hAnsi="Arial" w:cs="Arial"/>
          <w:sz w:val="20"/>
        </w:rPr>
        <w:t>geologic formation</w:t>
      </w:r>
      <w:r w:rsidRPr="00D30BC1">
        <w:rPr>
          <w:rFonts w:ascii="Arial" w:hAnsi="Arial" w:cs="Arial"/>
          <w:sz w:val="20"/>
        </w:rPr>
        <w:t xml:space="preserve"> (discovered or undiscovered) to define those quantities of </w:t>
      </w:r>
      <w:r>
        <w:rPr>
          <w:rFonts w:ascii="Arial" w:hAnsi="Arial" w:cs="Arial"/>
          <w:sz w:val="20"/>
        </w:rPr>
        <w:t>CO</w:t>
      </w:r>
      <w:r w:rsidRPr="00E877E8">
        <w:rPr>
          <w:rFonts w:ascii="Arial" w:hAnsi="Arial" w:cs="Arial"/>
          <w:sz w:val="20"/>
          <w:vertAlign w:val="subscript"/>
        </w:rPr>
        <w:t>2</w:t>
      </w:r>
      <w:r w:rsidRPr="00D30BC1">
        <w:rPr>
          <w:rFonts w:ascii="Arial" w:hAnsi="Arial" w:cs="Arial"/>
          <w:sz w:val="20"/>
        </w:rPr>
        <w:t xml:space="preserve"> estimated, as of a given date, to be potentially </w:t>
      </w:r>
      <w:r>
        <w:rPr>
          <w:rFonts w:ascii="Arial" w:hAnsi="Arial" w:cs="Arial"/>
          <w:sz w:val="20"/>
        </w:rPr>
        <w:t>stored</w:t>
      </w:r>
      <w:r w:rsidRPr="00D30BC1">
        <w:rPr>
          <w:rFonts w:ascii="Arial" w:hAnsi="Arial" w:cs="Arial"/>
          <w:sz w:val="20"/>
        </w:rPr>
        <w:t xml:space="preserve"> under defined technical and commercial conditions plus those quantities already </w:t>
      </w:r>
      <w:r>
        <w:rPr>
          <w:rFonts w:ascii="Arial" w:hAnsi="Arial" w:cs="Arial"/>
          <w:sz w:val="20"/>
        </w:rPr>
        <w:t>injected</w:t>
      </w:r>
      <w:r w:rsidRPr="00D30BC1">
        <w:rPr>
          <w:rFonts w:ascii="Arial" w:hAnsi="Arial" w:cs="Arial"/>
          <w:sz w:val="20"/>
        </w:rPr>
        <w:t xml:space="preserve"> </w:t>
      </w:r>
      <w:r>
        <w:rPr>
          <w:rFonts w:ascii="Arial" w:hAnsi="Arial" w:cs="Arial"/>
          <w:sz w:val="20"/>
        </w:rPr>
        <w:t>and stored</w:t>
      </w:r>
      <w:r w:rsidRPr="00D30BC1">
        <w:rPr>
          <w:rFonts w:ascii="Arial" w:hAnsi="Arial" w:cs="Arial"/>
          <w:sz w:val="20"/>
        </w:rPr>
        <w:t>.</w:t>
      </w:r>
    </w:p>
    <w:p w14:paraId="46332B2B" w14:textId="77777777" w:rsidR="00233C40" w:rsidRPr="00D30BC1" w:rsidRDefault="00233C40" w:rsidP="00D30BC1">
      <w:pPr>
        <w:jc w:val="both"/>
        <w:rPr>
          <w:rFonts w:ascii="Arial" w:hAnsi="Arial" w:cs="Arial"/>
          <w:sz w:val="20"/>
        </w:rPr>
      </w:pPr>
    </w:p>
    <w:p w14:paraId="340BF34D" w14:textId="77777777" w:rsidR="00233C40" w:rsidRPr="00631336" w:rsidRDefault="00233C40" w:rsidP="00D67BF1">
      <w:pPr>
        <w:jc w:val="both"/>
      </w:pPr>
      <w:r w:rsidRPr="00D30BC1">
        <w:rPr>
          <w:rFonts w:ascii="Arial" w:hAnsi="Arial" w:cs="Arial"/>
          <w:sz w:val="20"/>
          <w:szCs w:val="36"/>
        </w:rPr>
        <w:t xml:space="preserve">The sum of </w:t>
      </w:r>
      <w:r w:rsidRPr="00E877E8">
        <w:rPr>
          <w:rFonts w:ascii="Arial" w:hAnsi="Arial" w:cs="Arial"/>
          <w:sz w:val="20"/>
          <w:szCs w:val="36"/>
        </w:rPr>
        <w:t>Capacity, Contingent Resources, and Prospective Resources may</w:t>
      </w:r>
      <w:r w:rsidRPr="00D30BC1">
        <w:rPr>
          <w:rFonts w:ascii="Arial" w:hAnsi="Arial" w:cs="Arial"/>
          <w:sz w:val="20"/>
          <w:szCs w:val="36"/>
        </w:rPr>
        <w:t xml:space="preserve"> be referred to as </w:t>
      </w:r>
      <w:r w:rsidRPr="00D30BC1">
        <w:rPr>
          <w:rFonts w:cs="Arial"/>
          <w:sz w:val="18"/>
          <w:szCs w:val="36"/>
        </w:rPr>
        <w:t>“</w:t>
      </w:r>
      <w:r w:rsidRPr="00D30BC1">
        <w:rPr>
          <w:rFonts w:ascii="Arial" w:hAnsi="Arial" w:cs="Arial"/>
          <w:sz w:val="20"/>
          <w:szCs w:val="36"/>
        </w:rPr>
        <w:t xml:space="preserve">remaining </w:t>
      </w:r>
      <w:r w:rsidR="0073007F">
        <w:rPr>
          <w:rFonts w:ascii="Arial" w:hAnsi="Arial" w:cs="Arial"/>
          <w:sz w:val="20"/>
          <w:szCs w:val="36"/>
        </w:rPr>
        <w:t>S</w:t>
      </w:r>
      <w:r w:rsidR="00414F0F">
        <w:rPr>
          <w:rFonts w:ascii="Arial" w:hAnsi="Arial" w:cs="Arial"/>
          <w:sz w:val="20"/>
          <w:szCs w:val="36"/>
        </w:rPr>
        <w:t>torage R</w:t>
      </w:r>
      <w:r>
        <w:rPr>
          <w:rFonts w:ascii="Arial" w:hAnsi="Arial" w:cs="Arial"/>
          <w:sz w:val="20"/>
          <w:szCs w:val="36"/>
        </w:rPr>
        <w:t>esources</w:t>
      </w:r>
      <w:r w:rsidRPr="00D30BC1">
        <w:rPr>
          <w:rFonts w:ascii="Arial" w:hAnsi="Arial" w:cs="Arial"/>
          <w:sz w:val="20"/>
          <w:szCs w:val="36"/>
        </w:rPr>
        <w:t>.</w:t>
      </w:r>
      <w:r w:rsidRPr="00D30BC1">
        <w:rPr>
          <w:rFonts w:cs="Arial"/>
          <w:sz w:val="18"/>
          <w:szCs w:val="36"/>
        </w:rPr>
        <w:t>”</w:t>
      </w:r>
      <w:r w:rsidRPr="00D30BC1">
        <w:rPr>
          <w:rFonts w:ascii="Arial" w:hAnsi="Arial" w:cs="Arial"/>
          <w:sz w:val="20"/>
          <w:szCs w:val="36"/>
        </w:rPr>
        <w:t xml:space="preserve"> When such terms are used, it is important that each classification component of the summation also be provided. Moreover, these quantities should not be aggregated without due consideration of the varying degrees of technical and commercial risk involved with their classification.</w:t>
      </w:r>
    </w:p>
    <w:p w14:paraId="4981B347" w14:textId="77777777" w:rsidR="00233C40" w:rsidRPr="00D30BC1" w:rsidRDefault="00233C40" w:rsidP="00D30BC1">
      <w:pPr>
        <w:rPr>
          <w:rFonts w:ascii="Arial" w:hAnsi="Arial" w:cs="Arial"/>
          <w:b/>
          <w:bCs/>
          <w:i/>
          <w:iCs/>
          <w:sz w:val="20"/>
          <w:szCs w:val="36"/>
        </w:rPr>
      </w:pPr>
    </w:p>
    <w:p w14:paraId="0FC790A0" w14:textId="77777777" w:rsidR="00233C40" w:rsidRPr="00D30BC1" w:rsidRDefault="00233C40" w:rsidP="00233C40">
      <w:pPr>
        <w:pStyle w:val="Heading2"/>
        <w:numPr>
          <w:ilvl w:val="1"/>
          <w:numId w:val="14"/>
        </w:numPr>
      </w:pPr>
      <w:r w:rsidRPr="00D30BC1">
        <w:t xml:space="preserve">Project-Based Resources Evaluations </w:t>
      </w:r>
    </w:p>
    <w:p w14:paraId="7603F7D4" w14:textId="77777777" w:rsidR="00233C40" w:rsidRPr="00D30BC1" w:rsidRDefault="00233C40" w:rsidP="00D30BC1">
      <w:pPr>
        <w:pStyle w:val="CommentText"/>
        <w:rPr>
          <w:rFonts w:ascii="Arial" w:hAnsi="Arial" w:cs="Arial"/>
          <w:szCs w:val="24"/>
        </w:rPr>
      </w:pPr>
    </w:p>
    <w:p w14:paraId="11477894" w14:textId="77777777" w:rsidR="00233C40" w:rsidRPr="00D30BC1" w:rsidRDefault="00233C40" w:rsidP="00D30BC1">
      <w:pPr>
        <w:pStyle w:val="BodyText3"/>
        <w:jc w:val="both"/>
        <w:rPr>
          <w:i w:val="0"/>
          <w:iCs w:val="0"/>
        </w:rPr>
      </w:pPr>
      <w:r w:rsidRPr="00D30BC1">
        <w:rPr>
          <w:i w:val="0"/>
          <w:iCs w:val="0"/>
        </w:rPr>
        <w:t>The resources evaluation process consists of identifying a</w:t>
      </w:r>
      <w:r>
        <w:rPr>
          <w:i w:val="0"/>
          <w:iCs w:val="0"/>
        </w:rPr>
        <w:t xml:space="preserve"> storage</w:t>
      </w:r>
      <w:r w:rsidRPr="00D30BC1">
        <w:rPr>
          <w:i w:val="0"/>
          <w:iCs w:val="0"/>
        </w:rPr>
        <w:t xml:space="preserve"> project, or projects, associated with a </w:t>
      </w:r>
      <w:r>
        <w:rPr>
          <w:i w:val="0"/>
          <w:iCs w:val="0"/>
        </w:rPr>
        <w:t>geologic formation</w:t>
      </w:r>
      <w:r w:rsidRPr="00D30BC1">
        <w:rPr>
          <w:i w:val="0"/>
          <w:iCs w:val="0"/>
        </w:rPr>
        <w:t xml:space="preserve">(s), estimating the </w:t>
      </w:r>
      <w:r w:rsidR="00414F0F">
        <w:rPr>
          <w:i w:val="0"/>
          <w:iCs w:val="0"/>
        </w:rPr>
        <w:t xml:space="preserve">storable </w:t>
      </w:r>
      <w:r w:rsidRPr="00D30BC1">
        <w:rPr>
          <w:i w:val="0"/>
          <w:iCs w:val="0"/>
        </w:rPr>
        <w:t>quantities, estimating th</w:t>
      </w:r>
      <w:r>
        <w:rPr>
          <w:i w:val="0"/>
          <w:iCs w:val="0"/>
        </w:rPr>
        <w:t>e</w:t>
      </w:r>
      <w:r w:rsidRPr="00D30BC1">
        <w:rPr>
          <w:i w:val="0"/>
          <w:iCs w:val="0"/>
        </w:rPr>
        <w:t xml:space="preserve"> portion of those </w:t>
      </w:r>
      <w:r w:rsidR="00414F0F">
        <w:rPr>
          <w:i w:val="0"/>
          <w:iCs w:val="0"/>
        </w:rPr>
        <w:t>storable</w:t>
      </w:r>
      <w:r w:rsidRPr="00D30BC1">
        <w:rPr>
          <w:i w:val="0"/>
          <w:iCs w:val="0"/>
        </w:rPr>
        <w:t xml:space="preserve"> quantities that can be </w:t>
      </w:r>
      <w:r w:rsidR="00414F0F">
        <w:rPr>
          <w:i w:val="0"/>
          <w:iCs w:val="0"/>
        </w:rPr>
        <w:t>used</w:t>
      </w:r>
      <w:r w:rsidRPr="00D30BC1">
        <w:rPr>
          <w:i w:val="0"/>
          <w:iCs w:val="0"/>
        </w:rPr>
        <w:t xml:space="preserve"> by each project, and classifying the project(s) based on its maturity status or chance of commerciality. </w:t>
      </w:r>
    </w:p>
    <w:p w14:paraId="7DE98347" w14:textId="77777777" w:rsidR="00233C40" w:rsidRDefault="00233C40"/>
    <w:p w14:paraId="025E3FDF" w14:textId="6478F360" w:rsidR="00233C40" w:rsidRDefault="00D67BF1" w:rsidP="00D67BF1">
      <w:pPr>
        <w:jc w:val="both"/>
        <w:rPr>
          <w:rFonts w:ascii="Arial" w:hAnsi="Arial" w:cs="Arial"/>
          <w:sz w:val="20"/>
        </w:rPr>
      </w:pPr>
      <w:r>
        <w:rPr>
          <w:noProof/>
          <w:sz w:val="18"/>
        </w:rPr>
        <w:drawing>
          <wp:anchor distT="0" distB="0" distL="114300" distR="114300" simplePos="0" relativeHeight="251659776" behindDoc="0" locked="0" layoutInCell="1" allowOverlap="1" wp14:anchorId="65909D9B" wp14:editId="452011B6">
            <wp:simplePos x="0" y="0"/>
            <wp:positionH relativeFrom="column">
              <wp:posOffset>133350</wp:posOffset>
            </wp:positionH>
            <wp:positionV relativeFrom="paragraph">
              <wp:posOffset>462280</wp:posOffset>
            </wp:positionV>
            <wp:extent cx="4974336" cy="2167128"/>
            <wp:effectExtent l="0" t="0" r="0" b="508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E09699.tmp"/>
                    <pic:cNvPicPr/>
                  </pic:nvPicPr>
                  <pic:blipFill rotWithShape="1">
                    <a:blip r:embed="rId17">
                      <a:extLst>
                        <a:ext uri="{28A0092B-C50C-407E-A947-70E740481C1C}">
                          <a14:useLocalDpi xmlns:a14="http://schemas.microsoft.com/office/drawing/2010/main" val="0"/>
                        </a:ext>
                      </a:extLst>
                    </a:blip>
                    <a:srcRect l="2442" r="6468" b="8097"/>
                    <a:stretch/>
                  </pic:blipFill>
                  <pic:spPr bwMode="auto">
                    <a:xfrm>
                      <a:off x="0" y="0"/>
                      <a:ext cx="4974336" cy="2167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3C40" w:rsidRPr="00F36E11">
        <w:rPr>
          <w:rFonts w:ascii="Arial" w:hAnsi="Arial" w:cs="Arial"/>
          <w:sz w:val="20"/>
        </w:rPr>
        <w:t xml:space="preserve">This concept of a project-based classification system is further clarified by examining the primary data sources contributing to an evaluation of </w:t>
      </w:r>
      <w:r w:rsidR="00414F0F">
        <w:rPr>
          <w:rFonts w:ascii="Arial" w:hAnsi="Arial" w:cs="Arial"/>
          <w:sz w:val="20"/>
        </w:rPr>
        <w:t xml:space="preserve">storage </w:t>
      </w:r>
      <w:r w:rsidR="00233C40" w:rsidRPr="00F36E11">
        <w:rPr>
          <w:rFonts w:ascii="Arial" w:hAnsi="Arial" w:cs="Arial"/>
          <w:sz w:val="20"/>
        </w:rPr>
        <w:t>resources (see Figure 1-2) that may be described as follows:</w:t>
      </w:r>
    </w:p>
    <w:p w14:paraId="72AB1908" w14:textId="77777777" w:rsidR="0008291F" w:rsidRPr="00D30BC1" w:rsidRDefault="0008291F" w:rsidP="0008291F">
      <w:pPr>
        <w:pStyle w:val="NormalWeb"/>
        <w:ind w:left="360"/>
        <w:jc w:val="center"/>
        <w:rPr>
          <w:color w:val="auto"/>
          <w:sz w:val="18"/>
        </w:rPr>
      </w:pPr>
      <w:r w:rsidRPr="00D30BC1">
        <w:rPr>
          <w:color w:val="auto"/>
          <w:sz w:val="18"/>
        </w:rPr>
        <w:t>Figure 1-2: Resources Evaluation Data Sources.</w:t>
      </w:r>
    </w:p>
    <w:p w14:paraId="28EC3A53" w14:textId="77777777" w:rsidR="00233C40" w:rsidRDefault="00233C40" w:rsidP="00233C40">
      <w:pPr>
        <w:pStyle w:val="NormalWeb"/>
        <w:numPr>
          <w:ilvl w:val="0"/>
          <w:numId w:val="28"/>
        </w:numPr>
        <w:spacing w:before="0" w:beforeAutospacing="0" w:after="0" w:afterAutospacing="0"/>
        <w:jc w:val="both"/>
        <w:rPr>
          <w:color w:val="auto"/>
        </w:rPr>
      </w:pPr>
      <w:r w:rsidRPr="00D30BC1">
        <w:rPr>
          <w:color w:val="auto"/>
        </w:rPr>
        <w:t xml:space="preserve">The </w:t>
      </w:r>
      <w:r>
        <w:rPr>
          <w:color w:val="auto"/>
        </w:rPr>
        <w:t>Geologic Formation</w:t>
      </w:r>
      <w:r w:rsidRPr="00D30BC1">
        <w:rPr>
          <w:color w:val="auto"/>
        </w:rPr>
        <w:t xml:space="preserve">: Key attributes include the </w:t>
      </w:r>
      <w:r w:rsidR="00414F0F">
        <w:rPr>
          <w:color w:val="auto"/>
        </w:rPr>
        <w:t xml:space="preserve">storable </w:t>
      </w:r>
      <w:r w:rsidRPr="00D30BC1">
        <w:rPr>
          <w:color w:val="auto"/>
        </w:rPr>
        <w:t xml:space="preserve">quantities and the fluid and rock properties that affect </w:t>
      </w:r>
      <w:r>
        <w:rPr>
          <w:color w:val="auto"/>
        </w:rPr>
        <w:t>CO</w:t>
      </w:r>
      <w:r w:rsidRPr="008E56EC">
        <w:rPr>
          <w:color w:val="auto"/>
          <w:vertAlign w:val="subscript"/>
        </w:rPr>
        <w:t>2</w:t>
      </w:r>
      <w:r>
        <w:rPr>
          <w:color w:val="auto"/>
        </w:rPr>
        <w:t xml:space="preserve"> storage</w:t>
      </w:r>
      <w:r w:rsidRPr="00D30BC1">
        <w:rPr>
          <w:color w:val="auto"/>
        </w:rPr>
        <w:t xml:space="preserve">. </w:t>
      </w:r>
    </w:p>
    <w:p w14:paraId="098643B8" w14:textId="77777777" w:rsidR="00233C40" w:rsidRDefault="00233C40" w:rsidP="00A36CD5">
      <w:pPr>
        <w:pStyle w:val="NormalWeb"/>
        <w:spacing w:before="0" w:beforeAutospacing="0" w:after="0" w:afterAutospacing="0"/>
        <w:ind w:left="360"/>
        <w:jc w:val="both"/>
        <w:rPr>
          <w:color w:val="auto"/>
        </w:rPr>
      </w:pPr>
    </w:p>
    <w:p w14:paraId="7EE09AD8" w14:textId="77777777" w:rsidR="00233C40" w:rsidRPr="00A36CD5" w:rsidRDefault="00233C40" w:rsidP="00233C40">
      <w:pPr>
        <w:pStyle w:val="NormalWeb"/>
        <w:numPr>
          <w:ilvl w:val="0"/>
          <w:numId w:val="28"/>
        </w:numPr>
        <w:spacing w:before="0" w:beforeAutospacing="0" w:after="0" w:afterAutospacing="0"/>
        <w:jc w:val="both"/>
        <w:rPr>
          <w:color w:val="auto"/>
        </w:rPr>
      </w:pPr>
      <w:r w:rsidRPr="00A36CD5">
        <w:t xml:space="preserve">The Project: Each project applied to a </w:t>
      </w:r>
      <w:r w:rsidRPr="00D30BC1">
        <w:t xml:space="preserve">specific </w:t>
      </w:r>
      <w:r>
        <w:t>geologic formation</w:t>
      </w:r>
      <w:r w:rsidRPr="00D30BC1">
        <w:t xml:space="preserve"> development</w:t>
      </w:r>
      <w:r w:rsidRPr="00A36CD5">
        <w:t xml:space="preserve"> generates a unique </w:t>
      </w:r>
      <w:r>
        <w:t>injection</w:t>
      </w:r>
      <w:r w:rsidRPr="00A36CD5">
        <w:t xml:space="preserve"> and cash flow schedule. The time integration of these schedules taken to the project’s technical, economic, or contractual limit defines the estimated storage resources and associated future net cash flow projections for each project. The ratio of </w:t>
      </w:r>
      <w:r w:rsidRPr="008E56EC">
        <w:t>EU</w:t>
      </w:r>
      <w:r>
        <w:t>S</w:t>
      </w:r>
      <w:r w:rsidRPr="00A36CD5">
        <w:t xml:space="preserve"> to Total </w:t>
      </w:r>
      <w:r>
        <w:t>Storage Resources</w:t>
      </w:r>
      <w:r w:rsidRPr="00A36CD5">
        <w:t xml:space="preserve"> defines the ultimate storage efficiency for the development project(s). A project may be defined at various levels and stages of maturity; it may include one or many wells and associated injection and processing facilities. </w:t>
      </w:r>
      <w:r w:rsidRPr="00D30BC1">
        <w:t xml:space="preserve">One project may develop many </w:t>
      </w:r>
      <w:r>
        <w:t>geologic formations</w:t>
      </w:r>
      <w:r w:rsidRPr="00D30BC1">
        <w:t xml:space="preserve">, or many projects may be applied to one </w:t>
      </w:r>
      <w:r>
        <w:t>geologic formation</w:t>
      </w:r>
      <w:r w:rsidRPr="00D30BC1">
        <w:t>.</w:t>
      </w:r>
    </w:p>
    <w:p w14:paraId="09A148BB" w14:textId="77777777" w:rsidR="00233C40" w:rsidRPr="00F36E11" w:rsidRDefault="00233C40" w:rsidP="00F36E11">
      <w:pPr>
        <w:pStyle w:val="ListParagraph"/>
        <w:ind w:left="360"/>
        <w:rPr>
          <w:rFonts w:ascii="Arial" w:hAnsi="Arial" w:cs="Arial"/>
          <w:sz w:val="20"/>
          <w:szCs w:val="20"/>
        </w:rPr>
      </w:pPr>
    </w:p>
    <w:p w14:paraId="0B6FF5F1" w14:textId="77777777" w:rsidR="00233C40" w:rsidRDefault="00233C40" w:rsidP="00D67BF1">
      <w:pPr>
        <w:pStyle w:val="ListParagraph"/>
        <w:numPr>
          <w:ilvl w:val="0"/>
          <w:numId w:val="28"/>
        </w:numPr>
        <w:jc w:val="both"/>
        <w:rPr>
          <w:rFonts w:ascii="Arial" w:hAnsi="Arial" w:cs="Arial"/>
          <w:sz w:val="20"/>
          <w:szCs w:val="20"/>
        </w:rPr>
      </w:pPr>
      <w:r w:rsidRPr="00F36E11">
        <w:rPr>
          <w:rFonts w:ascii="Arial" w:hAnsi="Arial" w:cs="Arial"/>
          <w:sz w:val="20"/>
          <w:szCs w:val="20"/>
        </w:rPr>
        <w:t xml:space="preserve">The Property (lease or license area):  Each property may have unique associated contractual rights and obligations including the fiscal terms. Such information allows definition of each participant’s share of </w:t>
      </w:r>
      <w:r w:rsidR="00414F0F">
        <w:rPr>
          <w:rFonts w:ascii="Arial" w:hAnsi="Arial" w:cs="Arial"/>
          <w:sz w:val="20"/>
          <w:szCs w:val="20"/>
        </w:rPr>
        <w:t xml:space="preserve">storable </w:t>
      </w:r>
      <w:r w:rsidRPr="00F36E11">
        <w:rPr>
          <w:rFonts w:ascii="Arial" w:hAnsi="Arial" w:cs="Arial"/>
          <w:sz w:val="20"/>
          <w:szCs w:val="20"/>
        </w:rPr>
        <w:t>quantities (entitlement) and share of investments, expenses, and revenues for each storage project and the geologic formation to which it is applied. One property may encompass many geologic formations, or one geologic formations may span several different properties. A property may contain both discovered and undiscovered geologic formations.</w:t>
      </w:r>
    </w:p>
    <w:p w14:paraId="613AE761" w14:textId="77777777" w:rsidR="00233C40" w:rsidRPr="00CA6438" w:rsidRDefault="00233C40" w:rsidP="00CA6438">
      <w:pPr>
        <w:pStyle w:val="ListParagraph"/>
        <w:rPr>
          <w:rFonts w:ascii="Arial" w:hAnsi="Arial" w:cs="Arial"/>
          <w:sz w:val="20"/>
          <w:szCs w:val="20"/>
        </w:rPr>
      </w:pPr>
    </w:p>
    <w:p w14:paraId="2BCB635C" w14:textId="77777777" w:rsidR="00233C40" w:rsidRPr="00CA6438" w:rsidRDefault="00233C40" w:rsidP="00CA6438">
      <w:pPr>
        <w:rPr>
          <w:rFonts w:ascii="Arial" w:hAnsi="Arial" w:cs="Arial"/>
          <w:sz w:val="20"/>
          <w:szCs w:val="20"/>
        </w:rPr>
      </w:pPr>
      <w:r w:rsidRPr="00CA6438">
        <w:rPr>
          <w:rFonts w:ascii="Arial" w:hAnsi="Arial" w:cs="Arial"/>
          <w:sz w:val="20"/>
          <w:szCs w:val="20"/>
        </w:rPr>
        <w:t xml:space="preserve">In context of this data relationship, “project” is the primary element considered in this resources classification, and net storage resources are the </w:t>
      </w:r>
      <w:r w:rsidR="0042342A">
        <w:rPr>
          <w:rFonts w:ascii="Arial" w:hAnsi="Arial" w:cs="Arial"/>
          <w:sz w:val="20"/>
          <w:szCs w:val="20"/>
        </w:rPr>
        <w:t xml:space="preserve">incremental storable </w:t>
      </w:r>
      <w:r w:rsidRPr="00CA6438">
        <w:rPr>
          <w:rFonts w:ascii="Arial" w:hAnsi="Arial" w:cs="Arial"/>
          <w:sz w:val="20"/>
          <w:szCs w:val="20"/>
        </w:rPr>
        <w:t>quantities used by each project. Project</w:t>
      </w:r>
      <w:r w:rsidR="009B02A5">
        <w:rPr>
          <w:rFonts w:ascii="Arial" w:hAnsi="Arial" w:cs="Arial"/>
          <w:sz w:val="20"/>
          <w:szCs w:val="20"/>
        </w:rPr>
        <w:t>s</w:t>
      </w:r>
      <w:r w:rsidRPr="00CA6438">
        <w:rPr>
          <w:rFonts w:ascii="Arial" w:hAnsi="Arial" w:cs="Arial"/>
          <w:sz w:val="20"/>
          <w:szCs w:val="20"/>
        </w:rPr>
        <w:t xml:space="preserve"> represents the link between the geologic formation and the decision-making process. A project may, for example, constitute the development of a</w:t>
      </w:r>
      <w:r w:rsidR="0042342A">
        <w:rPr>
          <w:rFonts w:ascii="Arial" w:hAnsi="Arial" w:cs="Arial"/>
          <w:sz w:val="20"/>
          <w:szCs w:val="20"/>
        </w:rPr>
        <w:t xml:space="preserve"> storable quantities in</w:t>
      </w:r>
      <w:r w:rsidRPr="00CA6438">
        <w:rPr>
          <w:rFonts w:ascii="Arial" w:hAnsi="Arial" w:cs="Arial"/>
          <w:sz w:val="20"/>
          <w:szCs w:val="20"/>
        </w:rPr>
        <w:t xml:space="preserve"> single geologic formation or multiple geologic formations, or an incremental development for a</w:t>
      </w:r>
      <w:r w:rsidR="0042342A">
        <w:rPr>
          <w:rFonts w:ascii="Arial" w:hAnsi="Arial" w:cs="Arial"/>
          <w:sz w:val="20"/>
          <w:szCs w:val="20"/>
        </w:rPr>
        <w:t xml:space="preserve"> </w:t>
      </w:r>
      <w:r w:rsidRPr="00CA6438">
        <w:rPr>
          <w:rFonts w:ascii="Arial" w:hAnsi="Arial" w:cs="Arial"/>
          <w:sz w:val="20"/>
          <w:szCs w:val="20"/>
        </w:rPr>
        <w:t>geologic formation, or the integrated development of several geologic formations and associated facilities with a common ownership. In general, an individual project will represent the level at which a decision is made whether or not to proceed (i.e., spend more money) and there should be an associated range of estimated storable quantities for that project.</w:t>
      </w:r>
    </w:p>
    <w:p w14:paraId="34AF8236" w14:textId="77777777" w:rsidR="00233C40" w:rsidRDefault="00233C40" w:rsidP="00CA6438"/>
    <w:p w14:paraId="4C231786" w14:textId="77777777" w:rsidR="00233C40" w:rsidRPr="00CA6438" w:rsidRDefault="00233C40" w:rsidP="00CA6438">
      <w:pPr>
        <w:rPr>
          <w:rFonts w:ascii="Arial" w:hAnsi="Arial" w:cs="Arial"/>
          <w:sz w:val="20"/>
          <w:szCs w:val="20"/>
        </w:rPr>
      </w:pPr>
      <w:r w:rsidRPr="00CA6438">
        <w:rPr>
          <w:rFonts w:ascii="Arial" w:hAnsi="Arial" w:cs="Arial"/>
          <w:sz w:val="20"/>
          <w:szCs w:val="20"/>
        </w:rPr>
        <w:t>Storage or potential storage of CO</w:t>
      </w:r>
      <w:r w:rsidRPr="008E56EC">
        <w:rPr>
          <w:rFonts w:ascii="Arial" w:hAnsi="Arial" w:cs="Arial"/>
          <w:sz w:val="20"/>
          <w:szCs w:val="20"/>
          <w:vertAlign w:val="subscript"/>
        </w:rPr>
        <w:t>2</w:t>
      </w:r>
      <w:r w:rsidRPr="00CA6438">
        <w:rPr>
          <w:rFonts w:ascii="Arial" w:hAnsi="Arial" w:cs="Arial"/>
          <w:sz w:val="20"/>
          <w:szCs w:val="20"/>
        </w:rPr>
        <w:t xml:space="preserve"> may be subject to several separate and distinct projects that are at different stages of exploration or development. Thus, </w:t>
      </w:r>
      <w:r>
        <w:rPr>
          <w:rFonts w:ascii="Arial" w:hAnsi="Arial" w:cs="Arial"/>
          <w:sz w:val="20"/>
          <w:szCs w:val="20"/>
        </w:rPr>
        <w:t>a</w:t>
      </w:r>
      <w:r w:rsidRPr="00CA6438">
        <w:rPr>
          <w:rFonts w:ascii="Arial" w:hAnsi="Arial" w:cs="Arial"/>
          <w:sz w:val="20"/>
          <w:szCs w:val="20"/>
        </w:rPr>
        <w:t xml:space="preserve"> geologic formation </w:t>
      </w:r>
      <w:r w:rsidR="00291EE5">
        <w:rPr>
          <w:rFonts w:ascii="Arial" w:hAnsi="Arial" w:cs="Arial"/>
          <w:sz w:val="20"/>
          <w:szCs w:val="20"/>
        </w:rPr>
        <w:t>may have storable</w:t>
      </w:r>
      <w:r w:rsidRPr="00CA6438">
        <w:rPr>
          <w:rFonts w:ascii="Arial" w:hAnsi="Arial" w:cs="Arial"/>
          <w:sz w:val="20"/>
          <w:szCs w:val="20"/>
        </w:rPr>
        <w:t xml:space="preserve"> quantities in several resource classes simultaneously. </w:t>
      </w:r>
    </w:p>
    <w:p w14:paraId="794A5B93" w14:textId="77777777" w:rsidR="00233C40" w:rsidRPr="00CA6438" w:rsidRDefault="00233C40" w:rsidP="00CA6438"/>
    <w:p w14:paraId="34A805D2" w14:textId="77777777" w:rsidR="00233C40" w:rsidRPr="009357F1" w:rsidRDefault="00233C40" w:rsidP="009357F1">
      <w:r w:rsidRPr="00F36E11">
        <w:rPr>
          <w:rFonts w:ascii="Arial" w:hAnsi="Arial" w:cs="Arial"/>
          <w:sz w:val="20"/>
          <w:szCs w:val="20"/>
        </w:rPr>
        <w:t xml:space="preserve">In order to assign resources of any class, a development plan needs to be defined consisting of one or more projects. Even </w:t>
      </w:r>
      <w:r w:rsidRPr="008E56EC">
        <w:rPr>
          <w:rFonts w:ascii="Arial" w:hAnsi="Arial" w:cs="Arial"/>
          <w:sz w:val="20"/>
          <w:szCs w:val="20"/>
        </w:rPr>
        <w:t>for Prospective Resources</w:t>
      </w:r>
      <w:r w:rsidRPr="00F36E11">
        <w:rPr>
          <w:rFonts w:ascii="Arial" w:hAnsi="Arial" w:cs="Arial"/>
          <w:sz w:val="20"/>
          <w:szCs w:val="20"/>
        </w:rPr>
        <w:t>, the estimates of storable</w:t>
      </w:r>
      <w:r>
        <w:rPr>
          <w:rFonts w:ascii="Arial" w:hAnsi="Arial" w:cs="Arial"/>
          <w:sz w:val="20"/>
          <w:szCs w:val="20"/>
        </w:rPr>
        <w:t xml:space="preserve"> </w:t>
      </w:r>
      <w:r w:rsidRPr="00F36E11">
        <w:rPr>
          <w:rFonts w:ascii="Arial" w:hAnsi="Arial" w:cs="Arial"/>
          <w:sz w:val="20"/>
          <w:szCs w:val="20"/>
        </w:rPr>
        <w:t>quantities must be stated in terms of the injected CO</w:t>
      </w:r>
      <w:r w:rsidRPr="008E56EC">
        <w:rPr>
          <w:rFonts w:ascii="Arial" w:hAnsi="Arial" w:cs="Arial"/>
          <w:sz w:val="20"/>
          <w:szCs w:val="20"/>
          <w:vertAlign w:val="subscript"/>
        </w:rPr>
        <w:t>2</w:t>
      </w:r>
      <w:r>
        <w:rPr>
          <w:rFonts w:ascii="Arial" w:hAnsi="Arial" w:cs="Arial"/>
          <w:sz w:val="20"/>
          <w:szCs w:val="20"/>
        </w:rPr>
        <w:t xml:space="preserve"> </w:t>
      </w:r>
      <w:r w:rsidRPr="00F36E11">
        <w:rPr>
          <w:rFonts w:ascii="Arial" w:hAnsi="Arial" w:cs="Arial"/>
          <w:sz w:val="20"/>
          <w:szCs w:val="20"/>
        </w:rPr>
        <w:t>derived from a development program assuming successful discovery and commercial development. Given the major uncertainties involved at this early stage, the development program will not be of the detail expected in later stages of maturity. In most cases, storage efficiency may be largely based on analogous pr</w:t>
      </w:r>
      <w:r w:rsidR="005A313D">
        <w:rPr>
          <w:rFonts w:ascii="Arial" w:hAnsi="Arial" w:cs="Arial"/>
          <w:sz w:val="20"/>
          <w:szCs w:val="20"/>
        </w:rPr>
        <w:t xml:space="preserve">ojects. Storable </w:t>
      </w:r>
      <w:r w:rsidRPr="00F36E11">
        <w:rPr>
          <w:rFonts w:ascii="Arial" w:hAnsi="Arial" w:cs="Arial"/>
          <w:sz w:val="20"/>
          <w:szCs w:val="20"/>
        </w:rPr>
        <w:t xml:space="preserve">quantities </w:t>
      </w:r>
      <w:r w:rsidRPr="00F36E11">
        <w:rPr>
          <w:rFonts w:ascii="Arial" w:hAnsi="Arial" w:cs="Arial"/>
          <w:sz w:val="20"/>
          <w:szCs w:val="20"/>
          <w:lang w:val="en-CA"/>
        </w:rPr>
        <w:t xml:space="preserve">for which a feasible project cannot be defined using current, or reasonably forecast improvements in, technology </w:t>
      </w:r>
      <w:r w:rsidRPr="00F36E11">
        <w:rPr>
          <w:rFonts w:ascii="Arial" w:hAnsi="Arial" w:cs="Arial"/>
          <w:sz w:val="20"/>
          <w:szCs w:val="20"/>
        </w:rPr>
        <w:t xml:space="preserve">are classified as </w:t>
      </w:r>
      <w:r>
        <w:rPr>
          <w:rFonts w:ascii="Arial" w:hAnsi="Arial" w:cs="Arial"/>
          <w:sz w:val="20"/>
          <w:szCs w:val="20"/>
        </w:rPr>
        <w:t>Unexploitable Storage Resources</w:t>
      </w:r>
      <w:r w:rsidRPr="00F36E11">
        <w:rPr>
          <w:rFonts w:ascii="Arial" w:hAnsi="Arial" w:cs="Arial"/>
          <w:sz w:val="20"/>
          <w:szCs w:val="20"/>
        </w:rPr>
        <w:t xml:space="preserve">. </w:t>
      </w:r>
    </w:p>
    <w:p w14:paraId="2CF42707" w14:textId="77777777" w:rsidR="00233C40" w:rsidRDefault="00233C40"/>
    <w:p w14:paraId="2D89F3F0" w14:textId="77777777" w:rsidR="00233C40" w:rsidRPr="00D30BC1" w:rsidRDefault="00233C40" w:rsidP="00D30BC1">
      <w:pPr>
        <w:jc w:val="both"/>
        <w:rPr>
          <w:rFonts w:ascii="Arial" w:hAnsi="Arial" w:cs="Arial"/>
          <w:sz w:val="20"/>
        </w:rPr>
      </w:pPr>
      <w:r w:rsidRPr="00D30BC1">
        <w:rPr>
          <w:rFonts w:ascii="Arial" w:hAnsi="Arial" w:cs="Arial"/>
          <w:sz w:val="20"/>
        </w:rPr>
        <w:t>Not all technically feasible development plans will be commercial. The commercial viability of a development project is dependent on a forecast of the conditions that will exist during the time period encompassed by the project</w:t>
      </w:r>
      <w:r w:rsidRPr="00D30BC1">
        <w:rPr>
          <w:rFonts w:cs="Arial"/>
          <w:sz w:val="18"/>
        </w:rPr>
        <w:t>’</w:t>
      </w:r>
      <w:r w:rsidRPr="00D30BC1">
        <w:rPr>
          <w:rFonts w:ascii="Arial" w:hAnsi="Arial" w:cs="Arial"/>
          <w:sz w:val="20"/>
        </w:rPr>
        <w:t xml:space="preserve">s activities </w:t>
      </w:r>
      <w:r w:rsidRPr="00292C51">
        <w:rPr>
          <w:rFonts w:ascii="Arial" w:hAnsi="Arial" w:cs="Arial"/>
          <w:sz w:val="20"/>
        </w:rPr>
        <w:t>(see Commercial Evaluations, section 3.1).</w:t>
      </w:r>
      <w:r w:rsidRPr="00D30BC1">
        <w:rPr>
          <w:rFonts w:ascii="Arial" w:hAnsi="Arial" w:cs="Arial"/>
          <w:sz w:val="20"/>
        </w:rPr>
        <w:t xml:space="preserve"> </w:t>
      </w:r>
      <w:r w:rsidRPr="00D30BC1">
        <w:rPr>
          <w:rFonts w:cs="Arial"/>
          <w:sz w:val="18"/>
        </w:rPr>
        <w:t>“</w:t>
      </w:r>
      <w:r w:rsidRPr="00D30BC1">
        <w:rPr>
          <w:rFonts w:ascii="Arial" w:hAnsi="Arial" w:cs="Arial"/>
          <w:sz w:val="20"/>
        </w:rPr>
        <w:t>Conditions</w:t>
      </w:r>
      <w:r w:rsidRPr="00D30BC1">
        <w:rPr>
          <w:rFonts w:cs="Arial"/>
          <w:sz w:val="18"/>
        </w:rPr>
        <w:t>”</w:t>
      </w:r>
      <w:r w:rsidRPr="00D30BC1">
        <w:rPr>
          <w:rFonts w:ascii="Arial" w:hAnsi="Arial" w:cs="Arial"/>
          <w:sz w:val="20"/>
        </w:rPr>
        <w:t xml:space="preserve"> include technological, economic, legal, environmental, social, and governmental factors. While economic factors can be summarized as forecast costs , the underlying influences include, but are not limited to, market conditions, transportation and processing infrastructure, fiscal terms, and taxes.  </w:t>
      </w:r>
    </w:p>
    <w:p w14:paraId="2060011A" w14:textId="77777777" w:rsidR="00233C40" w:rsidRPr="00D30BC1" w:rsidRDefault="00233C40" w:rsidP="00D30BC1">
      <w:pPr>
        <w:jc w:val="both"/>
        <w:rPr>
          <w:rFonts w:ascii="Arial" w:hAnsi="Arial" w:cs="Arial"/>
          <w:sz w:val="20"/>
        </w:rPr>
      </w:pPr>
    </w:p>
    <w:p w14:paraId="1E16FDCA" w14:textId="77777777" w:rsidR="00233C40" w:rsidRPr="00C97B1A" w:rsidRDefault="00233C40" w:rsidP="00D67BF1">
      <w:pPr>
        <w:jc w:val="both"/>
        <w:rPr>
          <w:rFonts w:ascii="Arial" w:hAnsi="Arial" w:cs="Arial"/>
          <w:sz w:val="20"/>
          <w:szCs w:val="20"/>
        </w:rPr>
      </w:pPr>
      <w:r w:rsidRPr="00C97B1A">
        <w:rPr>
          <w:rFonts w:ascii="Arial" w:hAnsi="Arial" w:cs="Arial"/>
          <w:sz w:val="20"/>
          <w:szCs w:val="20"/>
        </w:rPr>
        <w:t xml:space="preserve">The </w:t>
      </w:r>
      <w:r w:rsidR="005A313D">
        <w:rPr>
          <w:rFonts w:ascii="Arial" w:hAnsi="Arial" w:cs="Arial"/>
          <w:sz w:val="20"/>
          <w:szCs w:val="20"/>
        </w:rPr>
        <w:t>storable</w:t>
      </w:r>
      <w:r w:rsidRPr="00C97B1A">
        <w:rPr>
          <w:rFonts w:ascii="Arial" w:hAnsi="Arial" w:cs="Arial"/>
          <w:sz w:val="20"/>
          <w:szCs w:val="20"/>
        </w:rPr>
        <w:t xml:space="preserve"> quantities being estimated are those volumes</w:t>
      </w:r>
      <w:r w:rsidR="005A313D">
        <w:rPr>
          <w:rFonts w:ascii="Arial" w:hAnsi="Arial" w:cs="Arial"/>
          <w:sz w:val="20"/>
          <w:szCs w:val="20"/>
        </w:rPr>
        <w:t xml:space="preserve"> (or mass)</w:t>
      </w:r>
      <w:r w:rsidRPr="00C97B1A">
        <w:rPr>
          <w:rFonts w:ascii="Arial" w:hAnsi="Arial" w:cs="Arial"/>
          <w:sz w:val="20"/>
          <w:szCs w:val="20"/>
        </w:rPr>
        <w:t xml:space="preserve"> that can be stored from a project as measured according to delivery specifications at the point of sale or custody transfer (see Reference Point, section 3.2.1). The cumulative injection from the evaluation date forward to cessation of injection is the remaining storage quantity. The sum of the associated annual net cash flows yields the estimated future net revenue. When the cash flows are discounted according to a defined discount rate and time period, the summation of the discounted cash flows is termed net present value (NPV) of the </w:t>
      </w:r>
      <w:r w:rsidRPr="00292C51">
        <w:rPr>
          <w:rFonts w:ascii="Arial" w:hAnsi="Arial" w:cs="Arial"/>
          <w:sz w:val="20"/>
          <w:szCs w:val="20"/>
        </w:rPr>
        <w:t>project (see Evaluation and Reporting Guidelines, section 3.0).</w:t>
      </w:r>
    </w:p>
    <w:p w14:paraId="731302D3" w14:textId="77777777" w:rsidR="00233C40" w:rsidRPr="00D30BC1" w:rsidRDefault="00233C40" w:rsidP="00D30BC1">
      <w:pPr>
        <w:jc w:val="both"/>
        <w:rPr>
          <w:rFonts w:ascii="Arial" w:hAnsi="Arial" w:cs="Arial"/>
          <w:i/>
          <w:iCs/>
          <w:sz w:val="20"/>
        </w:rPr>
      </w:pPr>
    </w:p>
    <w:p w14:paraId="3B604DB1" w14:textId="77777777" w:rsidR="00233C40" w:rsidRPr="00D30BC1" w:rsidRDefault="00233C40" w:rsidP="00D67BF1">
      <w:pPr>
        <w:pStyle w:val="BodyText"/>
        <w:jc w:val="both"/>
      </w:pPr>
      <w:r w:rsidRPr="00D30BC1">
        <w:t xml:space="preserve">The supporting data, analytical processes, and assumptions used in an evaluation should be documented in sufficient detail to allow an independent evaluator or auditor to clearly understand the basis for estimation and categorization of </w:t>
      </w:r>
      <w:r>
        <w:t>storable</w:t>
      </w:r>
      <w:r w:rsidRPr="00D30BC1">
        <w:t xml:space="preserve"> quantities and their classification. </w:t>
      </w:r>
    </w:p>
    <w:p w14:paraId="78914EA6" w14:textId="77777777" w:rsidR="00233C40" w:rsidRDefault="00233C40"/>
    <w:p w14:paraId="79831DDA" w14:textId="77777777" w:rsidR="009418F2" w:rsidRPr="00D30BC1" w:rsidRDefault="009418F2" w:rsidP="009418F2">
      <w:pPr>
        <w:numPr>
          <w:ilvl w:val="0"/>
          <w:numId w:val="22"/>
        </w:numPr>
        <w:rPr>
          <w:rFonts w:ascii="Arial" w:hAnsi="Arial" w:cs="Arial"/>
          <w:b/>
          <w:bCs/>
          <w:sz w:val="32"/>
          <w:szCs w:val="36"/>
        </w:rPr>
      </w:pPr>
      <w:r w:rsidRPr="00D30BC1">
        <w:rPr>
          <w:rFonts w:ascii="Arial" w:hAnsi="Arial" w:cs="Arial"/>
          <w:b/>
          <w:bCs/>
          <w:sz w:val="32"/>
          <w:szCs w:val="36"/>
        </w:rPr>
        <w:t>Classification and Categorization Guidelines</w:t>
      </w:r>
    </w:p>
    <w:p w14:paraId="361D3599" w14:textId="77777777" w:rsidR="009418F2" w:rsidRPr="00D30BC1" w:rsidRDefault="009418F2" w:rsidP="009418F2">
      <w:pPr>
        <w:rPr>
          <w:b/>
          <w:bCs/>
          <w:sz w:val="20"/>
          <w:szCs w:val="36"/>
        </w:rPr>
      </w:pPr>
    </w:p>
    <w:p w14:paraId="199DFCBC" w14:textId="77777777" w:rsidR="009418F2" w:rsidRPr="00D30BC1" w:rsidRDefault="009418F2" w:rsidP="009418F2">
      <w:pPr>
        <w:pStyle w:val="BodyText"/>
        <w:jc w:val="both"/>
      </w:pPr>
      <w:r w:rsidRPr="00D30BC1">
        <w:t xml:space="preserve">To consistently characterize </w:t>
      </w:r>
      <w:r>
        <w:t>CO</w:t>
      </w:r>
      <w:r w:rsidRPr="00E463B7">
        <w:rPr>
          <w:vertAlign w:val="subscript"/>
        </w:rPr>
        <w:t>2</w:t>
      </w:r>
      <w:r>
        <w:t xml:space="preserve"> storage</w:t>
      </w:r>
      <w:r w:rsidRPr="00D30BC1">
        <w:t xml:space="preserve"> projects, evaluations of all resources should be conducted in the context of the full classification system as shown in Figure 1-1. These guidelines reference this classification system and support an evaluation in which projects are </w:t>
      </w:r>
      <w:r w:rsidRPr="00D30BC1">
        <w:rPr>
          <w:rFonts w:ascii="Times New Roman" w:hAnsi="Times New Roman"/>
          <w:sz w:val="18"/>
        </w:rPr>
        <w:t>“</w:t>
      </w:r>
      <w:r w:rsidRPr="00D30BC1">
        <w:t>classified</w:t>
      </w:r>
      <w:r w:rsidRPr="00D30BC1">
        <w:rPr>
          <w:rFonts w:ascii="Times New Roman" w:hAnsi="Times New Roman"/>
          <w:sz w:val="18"/>
        </w:rPr>
        <w:t>”</w:t>
      </w:r>
      <w:r w:rsidRPr="00D30BC1">
        <w:t xml:space="preserve"> based on their chance of commerciality (the vertical axis) and estimates of </w:t>
      </w:r>
      <w:r>
        <w:t>storable</w:t>
      </w:r>
      <w:r w:rsidRPr="00D30BC1">
        <w:t xml:space="preserve"> </w:t>
      </w:r>
      <w:r>
        <w:t xml:space="preserve">volumes </w:t>
      </w:r>
      <w:r w:rsidRPr="00D30BC1">
        <w:t xml:space="preserve">associated with each project are </w:t>
      </w:r>
      <w:r w:rsidRPr="00D30BC1">
        <w:rPr>
          <w:rFonts w:ascii="Times New Roman" w:hAnsi="Times New Roman"/>
          <w:sz w:val="18"/>
        </w:rPr>
        <w:t>“</w:t>
      </w:r>
      <w:r w:rsidRPr="00D30BC1">
        <w:t>categorized</w:t>
      </w:r>
      <w:r w:rsidRPr="00D30BC1">
        <w:rPr>
          <w:rFonts w:ascii="Times New Roman" w:hAnsi="Times New Roman"/>
          <w:sz w:val="18"/>
        </w:rPr>
        <w:t>”</w:t>
      </w:r>
      <w:r w:rsidRPr="00D30BC1">
        <w:t xml:space="preserve"> to reflect uncertainty (the horizontal axis). The actual workflow of classification vs. categorization varies with individual projects and is often an iterative analy</w:t>
      </w:r>
      <w:r>
        <w:t>tical</w:t>
      </w:r>
      <w:r w:rsidRPr="00D30BC1">
        <w:t xml:space="preserve"> process leading to a final report. </w:t>
      </w:r>
      <w:r w:rsidRPr="00D30BC1">
        <w:rPr>
          <w:rFonts w:ascii="Times New Roman" w:hAnsi="Times New Roman"/>
          <w:sz w:val="18"/>
        </w:rPr>
        <w:t>“</w:t>
      </w:r>
      <w:r w:rsidRPr="00D30BC1">
        <w:t>Report,</w:t>
      </w:r>
      <w:r w:rsidRPr="00D30BC1">
        <w:rPr>
          <w:rFonts w:ascii="Times New Roman" w:hAnsi="Times New Roman"/>
          <w:sz w:val="18"/>
        </w:rPr>
        <w:t>”</w:t>
      </w:r>
      <w:r w:rsidRPr="00D30BC1">
        <w:t xml:space="preserve"> as used herein, refers to the presentation of evaluation results within the entity conducting the assessment and should not be construed as replacing guidelines for public disclosures under </w:t>
      </w:r>
      <w:r>
        <w:t>processes</w:t>
      </w:r>
      <w:r w:rsidRPr="00D30BC1">
        <w:t xml:space="preserve"> established by regulatory and/or other government agencies.</w:t>
      </w:r>
    </w:p>
    <w:p w14:paraId="5CF57D14" w14:textId="77777777" w:rsidR="009418F2" w:rsidRPr="00D30BC1" w:rsidRDefault="009418F2" w:rsidP="009418F2">
      <w:pPr>
        <w:pStyle w:val="BodyText"/>
      </w:pPr>
    </w:p>
    <w:p w14:paraId="50CC5EBA" w14:textId="77777777" w:rsidR="009418F2" w:rsidRPr="00D30BC1" w:rsidRDefault="009418F2" w:rsidP="009418F2">
      <w:pPr>
        <w:pStyle w:val="Heading2"/>
        <w:numPr>
          <w:ilvl w:val="1"/>
          <w:numId w:val="10"/>
        </w:numPr>
      </w:pPr>
      <w:r w:rsidRPr="00D30BC1">
        <w:t>Resources Classification</w:t>
      </w:r>
    </w:p>
    <w:p w14:paraId="4B5AE614" w14:textId="77777777" w:rsidR="009418F2" w:rsidRPr="00D30BC1" w:rsidRDefault="009418F2" w:rsidP="009418F2">
      <w:pPr>
        <w:pStyle w:val="CommentText"/>
        <w:rPr>
          <w:rFonts w:ascii="Arial" w:hAnsi="Arial" w:cs="Arial"/>
          <w:szCs w:val="24"/>
        </w:rPr>
      </w:pPr>
    </w:p>
    <w:p w14:paraId="7939654E" w14:textId="77777777" w:rsidR="009418F2" w:rsidRPr="00D30BC1" w:rsidRDefault="009418F2" w:rsidP="009418F2">
      <w:pPr>
        <w:pStyle w:val="BodyText"/>
        <w:jc w:val="both"/>
      </w:pPr>
      <w:r w:rsidRPr="00D30BC1">
        <w:t xml:space="preserve">The basic classification requires establishment of criteria for a </w:t>
      </w:r>
      <w:r>
        <w:t>CO</w:t>
      </w:r>
      <w:r w:rsidRPr="00E463B7">
        <w:rPr>
          <w:vertAlign w:val="subscript"/>
        </w:rPr>
        <w:t>2</w:t>
      </w:r>
      <w:r>
        <w:t xml:space="preserve"> storage</w:t>
      </w:r>
      <w:r w:rsidRPr="00D30BC1">
        <w:t xml:space="preserve"> </w:t>
      </w:r>
      <w:r>
        <w:t xml:space="preserve">volume </w:t>
      </w:r>
      <w:r w:rsidRPr="00D30BC1">
        <w:t xml:space="preserve">discovery and thereafter the distinction between commercial and sub-commercial projects in known </w:t>
      </w:r>
      <w:r>
        <w:t>geologic formations</w:t>
      </w:r>
      <w:r w:rsidRPr="00D30BC1">
        <w:t xml:space="preserve"> (and hence between </w:t>
      </w:r>
      <w:r w:rsidR="001642F3">
        <w:t>Capacity</w:t>
      </w:r>
      <w:r w:rsidRPr="001642F3">
        <w:t xml:space="preserve"> and Contingent Storage Resources)</w:t>
      </w:r>
      <w:r w:rsidRPr="00D30BC1">
        <w:t xml:space="preserve">.  </w:t>
      </w:r>
    </w:p>
    <w:p w14:paraId="29F04B96" w14:textId="77777777" w:rsidR="009418F2" w:rsidRPr="00D30BC1" w:rsidRDefault="009418F2" w:rsidP="009418F2">
      <w:pPr>
        <w:rPr>
          <w:sz w:val="20"/>
        </w:rPr>
      </w:pPr>
    </w:p>
    <w:p w14:paraId="029082DA" w14:textId="77777777" w:rsidR="009418F2" w:rsidRPr="00D30BC1" w:rsidRDefault="009418F2" w:rsidP="009418F2">
      <w:pPr>
        <w:pStyle w:val="Heading8"/>
      </w:pPr>
      <w:r w:rsidRPr="00D30BC1">
        <w:t>2.1.1   Determination of Discovery Status</w:t>
      </w:r>
    </w:p>
    <w:p w14:paraId="7CF89200" w14:textId="77777777" w:rsidR="009418F2" w:rsidRPr="00D30BC1" w:rsidRDefault="009418F2" w:rsidP="009418F2">
      <w:pPr>
        <w:pStyle w:val="NormalWeb"/>
        <w:jc w:val="both"/>
        <w:rPr>
          <w:color w:val="auto"/>
        </w:rPr>
      </w:pPr>
      <w:r w:rsidRPr="00D30BC1">
        <w:rPr>
          <w:color w:val="auto"/>
        </w:rPr>
        <w:t xml:space="preserve">A discovery is one </w:t>
      </w:r>
      <w:r>
        <w:rPr>
          <w:color w:val="auto"/>
        </w:rPr>
        <w:t>geologic formation</w:t>
      </w:r>
      <w:r w:rsidRPr="00D30BC1">
        <w:rPr>
          <w:color w:val="auto"/>
        </w:rPr>
        <w:t xml:space="preserve">, or several </w:t>
      </w:r>
      <w:r>
        <w:rPr>
          <w:color w:val="auto"/>
        </w:rPr>
        <w:t>geologic formations</w:t>
      </w:r>
      <w:r w:rsidRPr="00D30BC1">
        <w:rPr>
          <w:color w:val="auto"/>
        </w:rPr>
        <w:t xml:space="preserve"> collectively, for which one or several wells have established through testing, sampling, and/or logging the existence of a significant quantity of potential </w:t>
      </w:r>
      <w:r>
        <w:rPr>
          <w:color w:val="auto"/>
        </w:rPr>
        <w:t>CO</w:t>
      </w:r>
      <w:r w:rsidRPr="00E463B7">
        <w:rPr>
          <w:color w:val="auto"/>
          <w:vertAlign w:val="subscript"/>
        </w:rPr>
        <w:t>2</w:t>
      </w:r>
      <w:r>
        <w:rPr>
          <w:color w:val="auto"/>
        </w:rPr>
        <w:t xml:space="preserve"> storage</w:t>
      </w:r>
      <w:r w:rsidRPr="00D30BC1">
        <w:rPr>
          <w:color w:val="auto"/>
        </w:rPr>
        <w:t xml:space="preserve">. </w:t>
      </w:r>
      <w:r w:rsidR="00292C51" w:rsidRPr="00292C51">
        <w:rPr>
          <w:color w:val="auto"/>
        </w:rPr>
        <w:t xml:space="preserve">For a geologic formation to be deemed to have potential for CO2 storage </w:t>
      </w:r>
      <w:r w:rsidR="00292C51">
        <w:rPr>
          <w:color w:val="auto"/>
        </w:rPr>
        <w:t xml:space="preserve">(i.e. storable quantities) </w:t>
      </w:r>
      <w:r w:rsidR="00292C51" w:rsidRPr="00292C51">
        <w:rPr>
          <w:color w:val="auto"/>
        </w:rPr>
        <w:t xml:space="preserve">it must be assessed as having both </w:t>
      </w:r>
      <w:r w:rsidR="00292C51">
        <w:rPr>
          <w:color w:val="auto"/>
        </w:rPr>
        <w:t>accessible pore volume</w:t>
      </w:r>
      <w:r w:rsidR="00292C51" w:rsidRPr="00292C51">
        <w:rPr>
          <w:color w:val="auto"/>
        </w:rPr>
        <w:t xml:space="preserve"> and being suited to containment of the injected CO2 over a significant time period.  </w:t>
      </w:r>
    </w:p>
    <w:p w14:paraId="6705FBAB" w14:textId="77777777" w:rsidR="009418F2" w:rsidRPr="00D30BC1" w:rsidRDefault="009418F2" w:rsidP="009418F2">
      <w:pPr>
        <w:pStyle w:val="BodyText"/>
        <w:jc w:val="both"/>
        <w:rPr>
          <w:iCs/>
          <w:strike/>
        </w:rPr>
      </w:pPr>
      <w:r w:rsidRPr="00D30BC1">
        <w:rPr>
          <w:iCs/>
          <w:szCs w:val="20"/>
        </w:rPr>
        <w:t xml:space="preserve">In this context, </w:t>
      </w:r>
      <w:r w:rsidRPr="00D30BC1">
        <w:rPr>
          <w:rFonts w:ascii="Times New Roman" w:hAnsi="Times New Roman"/>
          <w:iCs/>
          <w:sz w:val="18"/>
          <w:szCs w:val="20"/>
        </w:rPr>
        <w:t>“</w:t>
      </w:r>
      <w:r w:rsidRPr="00D30BC1">
        <w:rPr>
          <w:iCs/>
          <w:szCs w:val="20"/>
        </w:rPr>
        <w:t>significant</w:t>
      </w:r>
      <w:r w:rsidR="00292C51">
        <w:rPr>
          <w:iCs/>
          <w:szCs w:val="20"/>
        </w:rPr>
        <w:t xml:space="preserve"> quantity</w:t>
      </w:r>
      <w:r w:rsidRPr="00D30BC1">
        <w:rPr>
          <w:rFonts w:ascii="Times New Roman" w:hAnsi="Times New Roman"/>
          <w:iCs/>
          <w:sz w:val="18"/>
          <w:szCs w:val="20"/>
        </w:rPr>
        <w:t>”</w:t>
      </w:r>
      <w:r w:rsidRPr="00D30BC1">
        <w:rPr>
          <w:iCs/>
          <w:szCs w:val="20"/>
        </w:rPr>
        <w:t xml:space="preserve"> implies that there is evidence of a sufficient quantity of </w:t>
      </w:r>
      <w:r>
        <w:rPr>
          <w:iCs/>
          <w:szCs w:val="20"/>
        </w:rPr>
        <w:t xml:space="preserve">Total Storage Resources </w:t>
      </w:r>
      <w:r w:rsidRPr="00D30BC1">
        <w:rPr>
          <w:iCs/>
          <w:szCs w:val="20"/>
        </w:rPr>
        <w:t xml:space="preserve">to justify estimating the volume </w:t>
      </w:r>
      <w:r w:rsidR="00FE1E31">
        <w:rPr>
          <w:iCs/>
          <w:szCs w:val="20"/>
        </w:rPr>
        <w:t xml:space="preserve">(or mass) </w:t>
      </w:r>
      <w:r w:rsidRPr="00D30BC1">
        <w:rPr>
          <w:iCs/>
          <w:szCs w:val="20"/>
        </w:rPr>
        <w:t xml:space="preserve">demonstrated by the well(s) and for evaluating the potential for economic </w:t>
      </w:r>
      <w:r>
        <w:rPr>
          <w:iCs/>
          <w:szCs w:val="20"/>
        </w:rPr>
        <w:t>storage</w:t>
      </w:r>
      <w:r w:rsidRPr="00D30BC1">
        <w:rPr>
          <w:iCs/>
          <w:szCs w:val="20"/>
        </w:rPr>
        <w:t xml:space="preserve">.  </w:t>
      </w:r>
      <w:r w:rsidRPr="00D30BC1">
        <w:rPr>
          <w:iCs/>
        </w:rPr>
        <w:t xml:space="preserve">Estimated </w:t>
      </w:r>
      <w:r>
        <w:rPr>
          <w:iCs/>
        </w:rPr>
        <w:t>storable</w:t>
      </w:r>
      <w:r w:rsidRPr="00D30BC1">
        <w:rPr>
          <w:iCs/>
        </w:rPr>
        <w:t xml:space="preserve"> </w:t>
      </w:r>
      <w:r>
        <w:rPr>
          <w:iCs/>
        </w:rPr>
        <w:t xml:space="preserve">quantities </w:t>
      </w:r>
      <w:r w:rsidRPr="00D30BC1">
        <w:rPr>
          <w:iCs/>
        </w:rPr>
        <w:t xml:space="preserve">within such a discovered (known) </w:t>
      </w:r>
      <w:r>
        <w:rPr>
          <w:iCs/>
        </w:rPr>
        <w:t>geologic formation</w:t>
      </w:r>
      <w:r w:rsidRPr="00D30BC1">
        <w:rPr>
          <w:iCs/>
        </w:rPr>
        <w:t xml:space="preserve">(s) shall initially be classified as </w:t>
      </w:r>
      <w:r w:rsidRPr="001642F3">
        <w:rPr>
          <w:iCs/>
        </w:rPr>
        <w:t>Contingent Storage Resources</w:t>
      </w:r>
      <w:r w:rsidRPr="00D30BC1">
        <w:rPr>
          <w:iCs/>
        </w:rPr>
        <w:t xml:space="preserve"> pending definition of projects with sufficient chance of commercial development to reclassify all, or a portion, as </w:t>
      </w:r>
      <w:r>
        <w:rPr>
          <w:iCs/>
        </w:rPr>
        <w:t>Capacity</w:t>
      </w:r>
      <w:r w:rsidRPr="00D30BC1">
        <w:rPr>
          <w:iCs/>
        </w:rPr>
        <w:t xml:space="preserve">.  Where </w:t>
      </w:r>
      <w:r>
        <w:rPr>
          <w:iCs/>
        </w:rPr>
        <w:t>Total Storage Resources is</w:t>
      </w:r>
      <w:r w:rsidRPr="00D30BC1">
        <w:rPr>
          <w:iCs/>
        </w:rPr>
        <w:t xml:space="preserve"> identified but </w:t>
      </w:r>
      <w:r>
        <w:rPr>
          <w:iCs/>
        </w:rPr>
        <w:t>is</w:t>
      </w:r>
      <w:r w:rsidRPr="00D30BC1">
        <w:rPr>
          <w:iCs/>
        </w:rPr>
        <w:t xml:space="preserve"> not considered currently </w:t>
      </w:r>
      <w:r>
        <w:rPr>
          <w:iCs/>
        </w:rPr>
        <w:t>storable</w:t>
      </w:r>
      <w:r w:rsidRPr="00D30BC1">
        <w:rPr>
          <w:iCs/>
        </w:rPr>
        <w:t xml:space="preserve">, such quantities may be classified as </w:t>
      </w:r>
      <w:r>
        <w:rPr>
          <w:iCs/>
        </w:rPr>
        <w:t>Unexploitable Storage Resources</w:t>
      </w:r>
      <w:r w:rsidRPr="00D30BC1">
        <w:rPr>
          <w:iCs/>
        </w:rPr>
        <w:t xml:space="preserve">, if considered appropriate for resource management purposes; a portion of </w:t>
      </w:r>
      <w:r>
        <w:rPr>
          <w:iCs/>
        </w:rPr>
        <w:t xml:space="preserve">this quantity </w:t>
      </w:r>
      <w:r w:rsidRPr="00D30BC1">
        <w:rPr>
          <w:iCs/>
        </w:rPr>
        <w:t xml:space="preserve">may become </w:t>
      </w:r>
      <w:r w:rsidR="00FE1E31">
        <w:rPr>
          <w:iCs/>
        </w:rPr>
        <w:t>exploitable Storage R</w:t>
      </w:r>
      <w:r w:rsidRPr="00D30BC1">
        <w:rPr>
          <w:iCs/>
        </w:rPr>
        <w:t>esources in the future as commercial circumstances change or technological developments occur.</w:t>
      </w:r>
    </w:p>
    <w:p w14:paraId="6B94AEA7" w14:textId="77777777" w:rsidR="009418F2" w:rsidRPr="00D30BC1" w:rsidRDefault="009418F2" w:rsidP="009418F2">
      <w:pPr>
        <w:pStyle w:val="CommentText"/>
        <w:rPr>
          <w:rFonts w:ascii="Arial" w:hAnsi="Arial" w:cs="Arial"/>
          <w:szCs w:val="24"/>
        </w:rPr>
      </w:pPr>
    </w:p>
    <w:p w14:paraId="41FD2D36" w14:textId="77777777" w:rsidR="009418F2" w:rsidRPr="00D30BC1" w:rsidRDefault="009418F2" w:rsidP="009418F2">
      <w:pPr>
        <w:pStyle w:val="Heading8"/>
      </w:pPr>
      <w:r w:rsidRPr="00D30BC1">
        <w:t xml:space="preserve">2.1.2   Determination of Commerciality </w:t>
      </w:r>
    </w:p>
    <w:p w14:paraId="28BC43DD" w14:textId="77777777" w:rsidR="009418F2" w:rsidRPr="00D30BC1" w:rsidRDefault="009418F2" w:rsidP="009418F2">
      <w:pPr>
        <w:pStyle w:val="NormalWeb"/>
        <w:jc w:val="both"/>
        <w:rPr>
          <w:color w:val="auto"/>
          <w:szCs w:val="24"/>
        </w:rPr>
      </w:pPr>
      <w:r w:rsidRPr="00D30BC1">
        <w:rPr>
          <w:color w:val="auto"/>
        </w:rPr>
        <w:t xml:space="preserve">Discovered </w:t>
      </w:r>
      <w:r>
        <w:rPr>
          <w:color w:val="auto"/>
        </w:rPr>
        <w:t xml:space="preserve">Storage Resources </w:t>
      </w:r>
      <w:r w:rsidR="00FE1E31">
        <w:rPr>
          <w:color w:val="auto"/>
        </w:rPr>
        <w:t>may be considered commercial</w:t>
      </w:r>
      <w:r w:rsidRPr="00D30BC1">
        <w:rPr>
          <w:color w:val="auto"/>
        </w:rPr>
        <w:t xml:space="preserve">, and thus </w:t>
      </w:r>
      <w:r w:rsidR="00292C51">
        <w:rPr>
          <w:color w:val="auto"/>
        </w:rPr>
        <w:t xml:space="preserve">be classified as </w:t>
      </w:r>
      <w:r>
        <w:rPr>
          <w:color w:val="auto"/>
        </w:rPr>
        <w:t>Capacity</w:t>
      </w:r>
      <w:r w:rsidRPr="00D30BC1">
        <w:rPr>
          <w:color w:val="auto"/>
        </w:rPr>
        <w:t>, if the entity claiming commerciality has demonstrated firm intention to proceed with development and such intention is based upon all of the following criteria:</w:t>
      </w:r>
    </w:p>
    <w:p w14:paraId="5984478E" w14:textId="77777777" w:rsidR="009418F2" w:rsidRPr="00D30BC1" w:rsidRDefault="009418F2" w:rsidP="009418F2">
      <w:pPr>
        <w:numPr>
          <w:ilvl w:val="0"/>
          <w:numId w:val="2"/>
        </w:numPr>
        <w:autoSpaceDE w:val="0"/>
        <w:autoSpaceDN w:val="0"/>
        <w:adjustRightInd w:val="0"/>
        <w:jc w:val="both"/>
        <w:rPr>
          <w:rFonts w:ascii="Arial" w:hAnsi="Arial" w:cs="Arial"/>
          <w:sz w:val="20"/>
        </w:rPr>
      </w:pPr>
      <w:r w:rsidRPr="00D30BC1">
        <w:rPr>
          <w:rFonts w:ascii="Arial" w:hAnsi="Arial" w:cs="Arial"/>
          <w:sz w:val="20"/>
        </w:rPr>
        <w:t>Evidence to support a reasonable timetable for development.</w:t>
      </w:r>
    </w:p>
    <w:p w14:paraId="42B9FD5C" w14:textId="77777777" w:rsidR="009418F2" w:rsidRPr="00D30BC1" w:rsidRDefault="009418F2" w:rsidP="009418F2">
      <w:pPr>
        <w:numPr>
          <w:ilvl w:val="0"/>
          <w:numId w:val="2"/>
        </w:numPr>
        <w:autoSpaceDE w:val="0"/>
        <w:autoSpaceDN w:val="0"/>
        <w:adjustRightInd w:val="0"/>
        <w:jc w:val="both"/>
        <w:rPr>
          <w:rFonts w:ascii="Arial" w:hAnsi="Arial" w:cs="Arial"/>
          <w:sz w:val="20"/>
        </w:rPr>
      </w:pPr>
      <w:r w:rsidRPr="00D30BC1">
        <w:rPr>
          <w:rFonts w:ascii="Arial" w:hAnsi="Arial" w:cs="Arial"/>
          <w:sz w:val="20"/>
        </w:rPr>
        <w:t>A reasonable assessment of the future economics of such development projects meeting defined investment and operating criteria</w:t>
      </w:r>
      <w:r w:rsidR="00DD788C">
        <w:rPr>
          <w:rFonts w:ascii="Arial" w:hAnsi="Arial" w:cs="Arial"/>
          <w:sz w:val="20"/>
        </w:rPr>
        <w:t>;</w:t>
      </w:r>
    </w:p>
    <w:p w14:paraId="7439860A" w14:textId="77777777" w:rsidR="009418F2" w:rsidRPr="00D30BC1" w:rsidRDefault="009418F2" w:rsidP="009418F2">
      <w:pPr>
        <w:numPr>
          <w:ilvl w:val="0"/>
          <w:numId w:val="2"/>
        </w:numPr>
        <w:autoSpaceDE w:val="0"/>
        <w:autoSpaceDN w:val="0"/>
        <w:adjustRightInd w:val="0"/>
        <w:jc w:val="both"/>
        <w:rPr>
          <w:rFonts w:ascii="Arial" w:hAnsi="Arial" w:cs="Arial"/>
          <w:sz w:val="20"/>
        </w:rPr>
      </w:pPr>
      <w:r w:rsidRPr="00D30BC1">
        <w:rPr>
          <w:rFonts w:ascii="Arial" w:hAnsi="Arial" w:cs="Arial"/>
          <w:sz w:val="20"/>
        </w:rPr>
        <w:t xml:space="preserve">A reasonable expectation that there will be </w:t>
      </w:r>
      <w:r w:rsidR="00FE1E31">
        <w:rPr>
          <w:rFonts w:ascii="Arial" w:hAnsi="Arial" w:cs="Arial"/>
          <w:sz w:val="20"/>
        </w:rPr>
        <w:t>sustained demand (i.e. market) for storage from this development project and the expected</w:t>
      </w:r>
      <w:r>
        <w:rPr>
          <w:rFonts w:ascii="Arial" w:hAnsi="Arial" w:cs="Arial"/>
          <w:sz w:val="20"/>
        </w:rPr>
        <w:t xml:space="preserve"> </w:t>
      </w:r>
      <w:r w:rsidR="00CF0F0C">
        <w:rPr>
          <w:rFonts w:ascii="Arial" w:hAnsi="Arial" w:cs="Arial"/>
          <w:sz w:val="20"/>
        </w:rPr>
        <w:t>stored</w:t>
      </w:r>
      <w:r>
        <w:rPr>
          <w:rFonts w:ascii="Arial" w:hAnsi="Arial" w:cs="Arial"/>
          <w:sz w:val="20"/>
        </w:rPr>
        <w:t xml:space="preserve"> quantit</w:t>
      </w:r>
      <w:r w:rsidR="00CF0F0C">
        <w:rPr>
          <w:rFonts w:ascii="Arial" w:hAnsi="Arial" w:cs="Arial"/>
          <w:sz w:val="20"/>
        </w:rPr>
        <w:t xml:space="preserve">ies </w:t>
      </w:r>
      <w:r w:rsidRPr="00D30BC1">
        <w:rPr>
          <w:rFonts w:ascii="Arial" w:hAnsi="Arial" w:cs="Arial"/>
          <w:sz w:val="20"/>
        </w:rPr>
        <w:t>required to justify development.</w:t>
      </w:r>
    </w:p>
    <w:p w14:paraId="5DD822BF" w14:textId="77777777" w:rsidR="009418F2" w:rsidRPr="00D30BC1" w:rsidRDefault="009418F2" w:rsidP="009418F2">
      <w:pPr>
        <w:numPr>
          <w:ilvl w:val="0"/>
          <w:numId w:val="2"/>
        </w:numPr>
        <w:autoSpaceDE w:val="0"/>
        <w:autoSpaceDN w:val="0"/>
        <w:adjustRightInd w:val="0"/>
        <w:jc w:val="both"/>
        <w:rPr>
          <w:rFonts w:ascii="Arial" w:hAnsi="Arial" w:cs="Arial"/>
          <w:sz w:val="20"/>
        </w:rPr>
      </w:pPr>
      <w:r w:rsidRPr="00D30BC1">
        <w:rPr>
          <w:rFonts w:ascii="Arial" w:hAnsi="Arial" w:cs="Arial"/>
          <w:sz w:val="20"/>
        </w:rPr>
        <w:t xml:space="preserve">Evidence that the necessary </w:t>
      </w:r>
      <w:r>
        <w:rPr>
          <w:rFonts w:ascii="Arial" w:hAnsi="Arial" w:cs="Arial"/>
          <w:sz w:val="20"/>
        </w:rPr>
        <w:t>injection</w:t>
      </w:r>
      <w:r w:rsidRPr="00D30BC1">
        <w:rPr>
          <w:rFonts w:ascii="Arial" w:hAnsi="Arial" w:cs="Arial"/>
          <w:sz w:val="20"/>
        </w:rPr>
        <w:t xml:space="preserve"> facilities are available or can be made available:</w:t>
      </w:r>
    </w:p>
    <w:p w14:paraId="47B9CFA1" w14:textId="77777777" w:rsidR="009418F2" w:rsidRPr="00D30BC1" w:rsidRDefault="009418F2" w:rsidP="009418F2">
      <w:pPr>
        <w:numPr>
          <w:ilvl w:val="0"/>
          <w:numId w:val="2"/>
        </w:numPr>
        <w:autoSpaceDE w:val="0"/>
        <w:autoSpaceDN w:val="0"/>
        <w:adjustRightInd w:val="0"/>
        <w:jc w:val="both"/>
        <w:rPr>
          <w:rFonts w:ascii="Arial" w:hAnsi="Arial" w:cs="Arial"/>
          <w:sz w:val="20"/>
        </w:rPr>
      </w:pPr>
      <w:r w:rsidRPr="00D30BC1">
        <w:rPr>
          <w:rFonts w:ascii="Arial" w:hAnsi="Arial" w:cs="Arial"/>
          <w:sz w:val="20"/>
        </w:rPr>
        <w:t xml:space="preserve">Evidence that legal, </w:t>
      </w:r>
      <w:r w:rsidR="00DD788C">
        <w:rPr>
          <w:rFonts w:ascii="Arial" w:hAnsi="Arial" w:cs="Arial"/>
          <w:sz w:val="20"/>
        </w:rPr>
        <w:t xml:space="preserve">regulatory, </w:t>
      </w:r>
      <w:r w:rsidRPr="00D30BC1">
        <w:rPr>
          <w:rFonts w:ascii="Arial" w:hAnsi="Arial" w:cs="Arial"/>
          <w:sz w:val="20"/>
        </w:rPr>
        <w:t xml:space="preserve">contractual, environmental and other social and economic concerns will allow for the actual implementation of the </w:t>
      </w:r>
      <w:r>
        <w:rPr>
          <w:rFonts w:ascii="Arial" w:hAnsi="Arial" w:cs="Arial"/>
          <w:sz w:val="20"/>
        </w:rPr>
        <w:t>storage</w:t>
      </w:r>
      <w:r w:rsidRPr="00D30BC1">
        <w:rPr>
          <w:rFonts w:ascii="Arial" w:hAnsi="Arial" w:cs="Arial"/>
          <w:sz w:val="20"/>
        </w:rPr>
        <w:t xml:space="preserve"> project being evaluated.</w:t>
      </w:r>
    </w:p>
    <w:p w14:paraId="3E5F2FF3" w14:textId="77777777" w:rsidR="009418F2" w:rsidRPr="00D30BC1" w:rsidRDefault="009418F2" w:rsidP="009418F2">
      <w:pPr>
        <w:autoSpaceDE w:val="0"/>
        <w:autoSpaceDN w:val="0"/>
        <w:adjustRightInd w:val="0"/>
        <w:jc w:val="both"/>
        <w:rPr>
          <w:rFonts w:ascii="Arial" w:hAnsi="Arial" w:cs="Arial"/>
          <w:sz w:val="20"/>
        </w:rPr>
      </w:pPr>
    </w:p>
    <w:p w14:paraId="64BF5CA9" w14:textId="77777777" w:rsidR="009418F2" w:rsidRPr="00D30BC1" w:rsidRDefault="009418F2" w:rsidP="009418F2">
      <w:pPr>
        <w:jc w:val="both"/>
        <w:rPr>
          <w:rFonts w:ascii="Arial" w:hAnsi="Arial" w:cs="Arial"/>
          <w:sz w:val="20"/>
        </w:rPr>
      </w:pPr>
      <w:r w:rsidRPr="00D30BC1">
        <w:rPr>
          <w:rFonts w:ascii="Arial" w:eastAsia="Arial Unicode MS" w:hAnsi="Arial" w:cs="Arial"/>
          <w:iCs/>
          <w:sz w:val="20"/>
        </w:rPr>
        <w:t xml:space="preserve">To be included in the </w:t>
      </w:r>
      <w:r>
        <w:rPr>
          <w:rFonts w:ascii="Arial" w:eastAsia="Arial Unicode MS" w:hAnsi="Arial" w:cs="Arial"/>
          <w:iCs/>
          <w:sz w:val="20"/>
        </w:rPr>
        <w:t>Capacity</w:t>
      </w:r>
      <w:r w:rsidRPr="00D30BC1">
        <w:rPr>
          <w:rFonts w:ascii="Arial" w:eastAsia="Arial Unicode MS" w:hAnsi="Arial" w:cs="Arial"/>
          <w:iCs/>
          <w:sz w:val="20"/>
        </w:rPr>
        <w:t xml:space="preserve"> class, a project must be sufficiently defined to establish its commercial viability. There must be a reasonable expectation that all required internal and external approvals will be forthcoming, and there is evidence of firm intention to proceed with development within a reasonable time frame. A reasonable time frame for the initiation of development depends on the specific circumstances and varies according to the scope of the project. While </w:t>
      </w:r>
      <w:r w:rsidR="00DD788C">
        <w:rPr>
          <w:rFonts w:ascii="Arial" w:eastAsia="Arial Unicode MS" w:hAnsi="Arial" w:cs="Arial"/>
          <w:iCs/>
          <w:sz w:val="20"/>
        </w:rPr>
        <w:t>five (</w:t>
      </w:r>
      <w:r w:rsidRPr="00D30BC1">
        <w:rPr>
          <w:rFonts w:ascii="Arial" w:eastAsia="Arial Unicode MS" w:hAnsi="Arial" w:cs="Arial"/>
          <w:iCs/>
          <w:sz w:val="20"/>
        </w:rPr>
        <w:t>5</w:t>
      </w:r>
      <w:r w:rsidR="00DD788C">
        <w:rPr>
          <w:rFonts w:ascii="Arial" w:eastAsia="Arial Unicode MS" w:hAnsi="Arial" w:cs="Arial"/>
          <w:iCs/>
          <w:sz w:val="20"/>
        </w:rPr>
        <w:t>)</w:t>
      </w:r>
      <w:r w:rsidRPr="00D30BC1">
        <w:rPr>
          <w:rFonts w:ascii="Arial" w:eastAsia="Arial Unicode MS" w:hAnsi="Arial" w:cs="Arial"/>
          <w:iCs/>
          <w:sz w:val="20"/>
        </w:rPr>
        <w:t xml:space="preserve"> years is recommended as a benchmark, </w:t>
      </w:r>
      <w:r w:rsidRPr="00D30BC1">
        <w:rPr>
          <w:rFonts w:ascii="Arial" w:hAnsi="Arial" w:cs="Arial"/>
          <w:sz w:val="20"/>
        </w:rPr>
        <w:t xml:space="preserve">a longer time frame could be applied where, for example, development of economic projects are deferred at the option of the </w:t>
      </w:r>
      <w:r>
        <w:rPr>
          <w:rFonts w:ascii="Arial" w:hAnsi="Arial" w:cs="Arial"/>
          <w:sz w:val="20"/>
        </w:rPr>
        <w:t>developer</w:t>
      </w:r>
      <w:r w:rsidRPr="00D30BC1">
        <w:rPr>
          <w:rFonts w:ascii="Arial" w:hAnsi="Arial" w:cs="Arial"/>
          <w:sz w:val="20"/>
        </w:rPr>
        <w:t xml:space="preserve"> </w:t>
      </w:r>
      <w:r w:rsidRPr="00D30BC1">
        <w:rPr>
          <w:rFonts w:ascii="Arial" w:hAnsi="Arial" w:cs="Arial"/>
          <w:bCs/>
          <w:sz w:val="20"/>
        </w:rPr>
        <w:t xml:space="preserve">for, among other things, market-related reasons, or </w:t>
      </w:r>
      <w:r w:rsidRPr="00D30BC1">
        <w:rPr>
          <w:rFonts w:ascii="Arial" w:hAnsi="Arial" w:cs="Arial"/>
          <w:sz w:val="20"/>
        </w:rPr>
        <w:t xml:space="preserve">to meet contractual or strategic objectives. In all cases, the justification for classification as </w:t>
      </w:r>
      <w:r>
        <w:rPr>
          <w:rFonts w:ascii="Arial" w:hAnsi="Arial" w:cs="Arial"/>
          <w:sz w:val="20"/>
        </w:rPr>
        <w:t>Capacity</w:t>
      </w:r>
      <w:r w:rsidRPr="00D30BC1">
        <w:rPr>
          <w:rFonts w:ascii="Arial" w:hAnsi="Arial" w:cs="Arial"/>
          <w:sz w:val="20"/>
        </w:rPr>
        <w:t xml:space="preserve"> should be clearly documented. </w:t>
      </w:r>
    </w:p>
    <w:p w14:paraId="1C52A201" w14:textId="77777777" w:rsidR="009418F2" w:rsidRPr="00D30BC1" w:rsidRDefault="009418F2" w:rsidP="009418F2">
      <w:pPr>
        <w:jc w:val="both"/>
        <w:rPr>
          <w:rFonts w:ascii="Arial" w:hAnsi="Arial" w:cs="Arial"/>
          <w:sz w:val="20"/>
        </w:rPr>
      </w:pPr>
    </w:p>
    <w:p w14:paraId="291DB557" w14:textId="77777777" w:rsidR="009418F2" w:rsidRPr="00D30BC1" w:rsidRDefault="009418F2" w:rsidP="009418F2">
      <w:pPr>
        <w:jc w:val="both"/>
        <w:rPr>
          <w:rFonts w:ascii="Arial" w:hAnsi="Arial" w:cs="Arial"/>
          <w:sz w:val="20"/>
        </w:rPr>
      </w:pPr>
      <w:r w:rsidRPr="00D30BC1">
        <w:rPr>
          <w:rFonts w:ascii="Arial" w:hAnsi="Arial" w:cs="Arial"/>
          <w:sz w:val="20"/>
        </w:rPr>
        <w:t xml:space="preserve">To be included in the </w:t>
      </w:r>
      <w:r>
        <w:rPr>
          <w:rFonts w:ascii="Arial" w:hAnsi="Arial" w:cs="Arial"/>
          <w:sz w:val="20"/>
        </w:rPr>
        <w:t>Capacity</w:t>
      </w:r>
      <w:r w:rsidRPr="00D30BC1">
        <w:rPr>
          <w:rFonts w:ascii="Arial" w:hAnsi="Arial" w:cs="Arial"/>
          <w:sz w:val="20"/>
        </w:rPr>
        <w:t xml:space="preserve"> class, there must be a high confidence in the commercial </w:t>
      </w:r>
      <w:r>
        <w:rPr>
          <w:rFonts w:ascii="Arial" w:hAnsi="Arial" w:cs="Arial"/>
          <w:sz w:val="20"/>
        </w:rPr>
        <w:t xml:space="preserve">injectability </w:t>
      </w:r>
      <w:r w:rsidRPr="00D30BC1">
        <w:rPr>
          <w:rFonts w:ascii="Arial" w:hAnsi="Arial" w:cs="Arial"/>
          <w:sz w:val="20"/>
        </w:rPr>
        <w:t xml:space="preserve">of the </w:t>
      </w:r>
      <w:r>
        <w:rPr>
          <w:rFonts w:ascii="Arial" w:hAnsi="Arial" w:cs="Arial"/>
          <w:sz w:val="20"/>
        </w:rPr>
        <w:t>geologic formation</w:t>
      </w:r>
      <w:r w:rsidRPr="00D30BC1">
        <w:rPr>
          <w:rFonts w:ascii="Arial" w:hAnsi="Arial" w:cs="Arial"/>
          <w:sz w:val="20"/>
        </w:rPr>
        <w:t xml:space="preserve"> as supported by actual </w:t>
      </w:r>
      <w:r>
        <w:rPr>
          <w:rFonts w:ascii="Arial" w:hAnsi="Arial" w:cs="Arial"/>
          <w:sz w:val="20"/>
        </w:rPr>
        <w:t>injection</w:t>
      </w:r>
      <w:r w:rsidRPr="00D30BC1">
        <w:rPr>
          <w:rFonts w:ascii="Arial" w:hAnsi="Arial" w:cs="Arial"/>
          <w:sz w:val="20"/>
        </w:rPr>
        <w:t xml:space="preserve"> or formation tests</w:t>
      </w:r>
      <w:r w:rsidR="00F92C25">
        <w:rPr>
          <w:rFonts w:ascii="Arial" w:hAnsi="Arial" w:cs="Arial"/>
          <w:sz w:val="20"/>
        </w:rPr>
        <w:t>, and confidence in the containment assessment</w:t>
      </w:r>
      <w:r w:rsidRPr="00D30BC1">
        <w:rPr>
          <w:rFonts w:ascii="Arial" w:hAnsi="Arial" w:cs="Arial"/>
          <w:sz w:val="20"/>
        </w:rPr>
        <w:t xml:space="preserve">. In certain cases, </w:t>
      </w:r>
      <w:r>
        <w:rPr>
          <w:rFonts w:ascii="Arial" w:hAnsi="Arial" w:cs="Arial"/>
          <w:sz w:val="20"/>
        </w:rPr>
        <w:t>Capacity</w:t>
      </w:r>
      <w:r w:rsidRPr="00D30BC1">
        <w:rPr>
          <w:rFonts w:ascii="Arial" w:hAnsi="Arial" w:cs="Arial"/>
          <w:sz w:val="20"/>
        </w:rPr>
        <w:t xml:space="preserve"> may be assigned on the basis of well logs and/or core analysis that indicate that the subject </w:t>
      </w:r>
      <w:r>
        <w:rPr>
          <w:rFonts w:ascii="Arial" w:hAnsi="Arial" w:cs="Arial"/>
          <w:sz w:val="20"/>
        </w:rPr>
        <w:t>geologic formation</w:t>
      </w:r>
      <w:r w:rsidRPr="00D30BC1">
        <w:rPr>
          <w:rFonts w:ascii="Arial" w:hAnsi="Arial" w:cs="Arial"/>
          <w:sz w:val="20"/>
        </w:rPr>
        <w:t xml:space="preserve"> is </w:t>
      </w:r>
      <w:r>
        <w:rPr>
          <w:rFonts w:ascii="Arial" w:hAnsi="Arial" w:cs="Arial"/>
          <w:sz w:val="20"/>
        </w:rPr>
        <w:t>capable of injectivity</w:t>
      </w:r>
      <w:r w:rsidRPr="00D30BC1">
        <w:rPr>
          <w:rFonts w:ascii="Arial" w:hAnsi="Arial" w:cs="Arial"/>
          <w:sz w:val="20"/>
        </w:rPr>
        <w:t xml:space="preserve"> </w:t>
      </w:r>
      <w:r w:rsidR="00F92C25">
        <w:rPr>
          <w:rFonts w:ascii="Arial" w:hAnsi="Arial" w:cs="Arial"/>
          <w:sz w:val="20"/>
        </w:rPr>
        <w:t xml:space="preserve">and containment, </w:t>
      </w:r>
      <w:r w:rsidRPr="00D30BC1">
        <w:rPr>
          <w:rFonts w:ascii="Arial" w:hAnsi="Arial" w:cs="Arial"/>
          <w:sz w:val="20"/>
        </w:rPr>
        <w:t xml:space="preserve">and is analogous to </w:t>
      </w:r>
      <w:r>
        <w:rPr>
          <w:rFonts w:ascii="Arial" w:hAnsi="Arial" w:cs="Arial"/>
          <w:sz w:val="20"/>
        </w:rPr>
        <w:t>geologic formations</w:t>
      </w:r>
      <w:r w:rsidRPr="00D30BC1">
        <w:rPr>
          <w:rFonts w:ascii="Arial" w:hAnsi="Arial" w:cs="Arial"/>
          <w:sz w:val="20"/>
        </w:rPr>
        <w:t xml:space="preserve"> in the same area that are </w:t>
      </w:r>
      <w:r>
        <w:rPr>
          <w:rFonts w:ascii="Arial" w:hAnsi="Arial" w:cs="Arial"/>
          <w:sz w:val="20"/>
        </w:rPr>
        <w:t>injecting</w:t>
      </w:r>
      <w:r w:rsidRPr="00D30BC1">
        <w:rPr>
          <w:rFonts w:ascii="Arial" w:hAnsi="Arial" w:cs="Arial"/>
          <w:sz w:val="20"/>
        </w:rPr>
        <w:t xml:space="preserve"> or have demonstrated the ability to </w:t>
      </w:r>
      <w:r>
        <w:rPr>
          <w:rFonts w:ascii="Arial" w:hAnsi="Arial" w:cs="Arial"/>
          <w:sz w:val="20"/>
        </w:rPr>
        <w:t>inject</w:t>
      </w:r>
      <w:r w:rsidRPr="00D30BC1">
        <w:rPr>
          <w:rFonts w:ascii="Arial" w:hAnsi="Arial" w:cs="Arial"/>
          <w:sz w:val="20"/>
        </w:rPr>
        <w:t xml:space="preserve"> on formation tests.</w:t>
      </w:r>
    </w:p>
    <w:p w14:paraId="73C28E30" w14:textId="77777777" w:rsidR="009418F2" w:rsidRPr="00D30BC1" w:rsidRDefault="009418F2" w:rsidP="009418F2">
      <w:pPr>
        <w:rPr>
          <w:rFonts w:ascii="Arial" w:hAnsi="Arial" w:cs="Arial"/>
          <w:b/>
          <w:bCs/>
          <w:sz w:val="20"/>
        </w:rPr>
      </w:pPr>
    </w:p>
    <w:p w14:paraId="09D5C180" w14:textId="77777777" w:rsidR="009418F2" w:rsidRPr="00D30BC1" w:rsidRDefault="009418F2" w:rsidP="009418F2">
      <w:pPr>
        <w:rPr>
          <w:rFonts w:ascii="Arial" w:hAnsi="Arial" w:cs="Arial"/>
          <w:b/>
          <w:bCs/>
          <w:sz w:val="20"/>
        </w:rPr>
      </w:pPr>
      <w:r w:rsidRPr="00D30BC1">
        <w:rPr>
          <w:rFonts w:ascii="Arial" w:hAnsi="Arial" w:cs="Arial"/>
          <w:b/>
          <w:bCs/>
          <w:sz w:val="20"/>
        </w:rPr>
        <w:t xml:space="preserve">2.1.3 </w:t>
      </w:r>
      <w:r w:rsidRPr="00D30BC1">
        <w:rPr>
          <w:rFonts w:ascii="Arial" w:hAnsi="Arial" w:cs="Arial"/>
          <w:b/>
          <w:bCs/>
          <w:sz w:val="20"/>
        </w:rPr>
        <w:tab/>
        <w:t>Project Status and Commercial Risk</w:t>
      </w:r>
    </w:p>
    <w:p w14:paraId="686CFAED" w14:textId="77777777" w:rsidR="009418F2" w:rsidRPr="00D30BC1" w:rsidRDefault="009418F2" w:rsidP="009418F2">
      <w:pPr>
        <w:pStyle w:val="BodyText"/>
        <w:rPr>
          <w:i/>
          <w:iCs/>
        </w:rPr>
      </w:pPr>
    </w:p>
    <w:p w14:paraId="37E3557A" w14:textId="77777777" w:rsidR="009418F2" w:rsidRPr="00D30BC1" w:rsidRDefault="009418F2" w:rsidP="009418F2">
      <w:pPr>
        <w:pStyle w:val="BodyText3"/>
        <w:jc w:val="both"/>
        <w:rPr>
          <w:i w:val="0"/>
          <w:iCs w:val="0"/>
        </w:rPr>
      </w:pPr>
      <w:r w:rsidRPr="00D30BC1">
        <w:rPr>
          <w:i w:val="0"/>
          <w:iCs w:val="0"/>
        </w:rPr>
        <w:t xml:space="preserve">Evaluators have the option to establish a more detailed resources classification reporting system that can also provide the basis for portfolio management by subdividing the chance of commerciality axis according to project maturity. Such sub-classes may be characterized by standard project maturity level descriptions (qualitative) and/or by their associated chance of reaching </w:t>
      </w:r>
      <w:r>
        <w:rPr>
          <w:i w:val="0"/>
          <w:iCs w:val="0"/>
        </w:rPr>
        <w:t>injection</w:t>
      </w:r>
      <w:r w:rsidRPr="00D30BC1">
        <w:rPr>
          <w:i w:val="0"/>
          <w:iCs w:val="0"/>
        </w:rPr>
        <w:t xml:space="preserve"> status (quantitative). </w:t>
      </w:r>
    </w:p>
    <w:p w14:paraId="2752FB12" w14:textId="77777777" w:rsidR="009418F2" w:rsidRPr="00D30BC1" w:rsidRDefault="009418F2" w:rsidP="009418F2">
      <w:pPr>
        <w:jc w:val="both"/>
        <w:rPr>
          <w:sz w:val="20"/>
        </w:rPr>
      </w:pPr>
    </w:p>
    <w:p w14:paraId="35769B89" w14:textId="77777777" w:rsidR="009418F2" w:rsidRPr="00D30BC1" w:rsidRDefault="009418F2" w:rsidP="009418F2">
      <w:pPr>
        <w:jc w:val="both"/>
        <w:rPr>
          <w:rFonts w:ascii="Arial" w:hAnsi="Arial" w:cs="Arial"/>
          <w:sz w:val="20"/>
        </w:rPr>
      </w:pPr>
      <w:r w:rsidRPr="00D30BC1">
        <w:rPr>
          <w:rFonts w:ascii="Arial" w:hAnsi="Arial" w:cs="Arial"/>
          <w:sz w:val="20"/>
        </w:rPr>
        <w:t xml:space="preserve">As a project moves to a higher level of maturity, there will be an increasing chance that the </w:t>
      </w:r>
      <w:r w:rsidR="00CF0F0C">
        <w:rPr>
          <w:rFonts w:ascii="Arial" w:hAnsi="Arial" w:cs="Arial"/>
          <w:sz w:val="20"/>
        </w:rPr>
        <w:t xml:space="preserve">storage resources </w:t>
      </w:r>
      <w:r w:rsidRPr="00D30BC1">
        <w:rPr>
          <w:rFonts w:ascii="Arial" w:hAnsi="Arial" w:cs="Arial"/>
          <w:sz w:val="20"/>
        </w:rPr>
        <w:t xml:space="preserve">will be commercially developed. For </w:t>
      </w:r>
      <w:r w:rsidRPr="00E161C7">
        <w:rPr>
          <w:rFonts w:ascii="Arial" w:hAnsi="Arial" w:cs="Arial"/>
          <w:sz w:val="20"/>
        </w:rPr>
        <w:t>Contingent and Prospective Storage Resources,</w:t>
      </w:r>
      <w:r w:rsidRPr="00D30BC1">
        <w:rPr>
          <w:rFonts w:ascii="Arial" w:hAnsi="Arial" w:cs="Arial"/>
          <w:sz w:val="20"/>
        </w:rPr>
        <w:t xml:space="preserve"> this can further be expressed as a quantitative chance estimate that incorporates two key underlying risk components: </w:t>
      </w:r>
    </w:p>
    <w:p w14:paraId="2239A0E0" w14:textId="77777777" w:rsidR="009418F2" w:rsidRPr="00D30BC1" w:rsidRDefault="009418F2" w:rsidP="009418F2">
      <w:pPr>
        <w:pStyle w:val="BodyText"/>
        <w:jc w:val="both"/>
      </w:pPr>
    </w:p>
    <w:p w14:paraId="17DD7D81" w14:textId="77777777" w:rsidR="009418F2" w:rsidRPr="001C156C" w:rsidRDefault="009418F2" w:rsidP="009418F2">
      <w:pPr>
        <w:numPr>
          <w:ilvl w:val="0"/>
          <w:numId w:val="1"/>
        </w:numPr>
        <w:jc w:val="both"/>
        <w:rPr>
          <w:rFonts w:ascii="Arial" w:hAnsi="Arial" w:cs="Arial"/>
          <w:sz w:val="20"/>
        </w:rPr>
      </w:pPr>
      <w:r w:rsidRPr="00D30BC1">
        <w:rPr>
          <w:rFonts w:ascii="Arial" w:hAnsi="Arial" w:cs="Arial"/>
          <w:sz w:val="20"/>
        </w:rPr>
        <w:t xml:space="preserve">The chance that the </w:t>
      </w:r>
      <w:r>
        <w:rPr>
          <w:rFonts w:ascii="Arial" w:hAnsi="Arial" w:cs="Arial"/>
          <w:sz w:val="20"/>
        </w:rPr>
        <w:t>geologic formation</w:t>
      </w:r>
      <w:r w:rsidRPr="00D30BC1">
        <w:rPr>
          <w:rFonts w:ascii="Arial" w:hAnsi="Arial" w:cs="Arial"/>
          <w:sz w:val="20"/>
        </w:rPr>
        <w:t xml:space="preserve"> will result in the discovery of </w:t>
      </w:r>
      <w:r w:rsidR="00CF0F0C">
        <w:rPr>
          <w:rFonts w:ascii="Arial" w:hAnsi="Arial" w:cs="Arial"/>
          <w:sz w:val="20"/>
        </w:rPr>
        <w:t>storable</w:t>
      </w:r>
      <w:r>
        <w:rPr>
          <w:rFonts w:ascii="Arial" w:hAnsi="Arial" w:cs="Arial"/>
          <w:sz w:val="20"/>
        </w:rPr>
        <w:t xml:space="preserve"> quantities</w:t>
      </w:r>
      <w:r w:rsidRPr="00D30BC1">
        <w:rPr>
          <w:rFonts w:ascii="Arial" w:hAnsi="Arial" w:cs="Arial"/>
          <w:sz w:val="20"/>
        </w:rPr>
        <w:t xml:space="preserve">. This is referred to as the </w:t>
      </w:r>
      <w:r w:rsidRPr="00D30BC1">
        <w:rPr>
          <w:rFonts w:cs="Arial"/>
          <w:sz w:val="18"/>
        </w:rPr>
        <w:t>“</w:t>
      </w:r>
      <w:r w:rsidRPr="00D30BC1">
        <w:rPr>
          <w:rFonts w:ascii="Arial" w:hAnsi="Arial" w:cs="Arial"/>
          <w:sz w:val="20"/>
        </w:rPr>
        <w:t>chance of discovery.</w:t>
      </w:r>
      <w:r w:rsidRPr="00D30BC1">
        <w:rPr>
          <w:rFonts w:cs="Arial"/>
          <w:sz w:val="18"/>
        </w:rPr>
        <w:t>”</w:t>
      </w:r>
      <w:r w:rsidRPr="00D30BC1">
        <w:rPr>
          <w:rFonts w:ascii="Arial" w:hAnsi="Arial" w:cs="Arial"/>
          <w:sz w:val="20"/>
        </w:rPr>
        <w:t xml:space="preserve"> </w:t>
      </w:r>
    </w:p>
    <w:p w14:paraId="27248652" w14:textId="77777777" w:rsidR="009418F2" w:rsidRPr="001C156C" w:rsidRDefault="009418F2" w:rsidP="009418F2">
      <w:pPr>
        <w:numPr>
          <w:ilvl w:val="0"/>
          <w:numId w:val="1"/>
        </w:numPr>
        <w:jc w:val="both"/>
        <w:rPr>
          <w:rFonts w:ascii="Arial" w:hAnsi="Arial" w:cs="Arial"/>
          <w:sz w:val="20"/>
        </w:rPr>
      </w:pPr>
      <w:r w:rsidRPr="001C156C">
        <w:rPr>
          <w:rFonts w:ascii="Arial" w:hAnsi="Arial" w:cs="Arial"/>
          <w:sz w:val="20"/>
        </w:rPr>
        <w:t xml:space="preserve">Once discovered, the chance that the </w:t>
      </w:r>
      <w:r w:rsidR="00CF0F0C">
        <w:rPr>
          <w:rFonts w:ascii="Arial" w:hAnsi="Arial" w:cs="Arial"/>
          <w:sz w:val="20"/>
        </w:rPr>
        <w:t>storable quantities will be commercial</w:t>
      </w:r>
      <w:r>
        <w:rPr>
          <w:rFonts w:ascii="Arial" w:hAnsi="Arial" w:cs="Arial"/>
          <w:sz w:val="20"/>
        </w:rPr>
        <w:t xml:space="preserve"> </w:t>
      </w:r>
      <w:r w:rsidRPr="001C156C">
        <w:rPr>
          <w:rFonts w:ascii="Arial" w:hAnsi="Arial" w:cs="Arial"/>
          <w:sz w:val="20"/>
        </w:rPr>
        <w:t>is referred to as the “chance of development.</w:t>
      </w:r>
      <w:r w:rsidRPr="001C156C">
        <w:rPr>
          <w:rFonts w:cs="Arial"/>
          <w:sz w:val="18"/>
        </w:rPr>
        <w:t>”</w:t>
      </w:r>
    </w:p>
    <w:p w14:paraId="3F41C411" w14:textId="77777777" w:rsidR="009418F2" w:rsidRPr="00D30BC1" w:rsidRDefault="009418F2" w:rsidP="009418F2">
      <w:pPr>
        <w:jc w:val="both"/>
        <w:rPr>
          <w:rFonts w:ascii="Arial" w:hAnsi="Arial" w:cs="Arial"/>
          <w:sz w:val="20"/>
        </w:rPr>
      </w:pPr>
    </w:p>
    <w:p w14:paraId="590B9691" w14:textId="77777777" w:rsidR="009418F2" w:rsidRPr="00D30BC1" w:rsidRDefault="009418F2" w:rsidP="009418F2">
      <w:pPr>
        <w:jc w:val="both"/>
        <w:rPr>
          <w:sz w:val="20"/>
        </w:rPr>
      </w:pPr>
      <w:r w:rsidRPr="00D30BC1">
        <w:rPr>
          <w:rFonts w:ascii="Arial" w:hAnsi="Arial" w:cs="Arial"/>
          <w:sz w:val="20"/>
        </w:rPr>
        <w:t xml:space="preserve">Thus, for an undiscovered </w:t>
      </w:r>
      <w:r w:rsidR="00CF0F0C">
        <w:rPr>
          <w:rFonts w:ascii="Arial" w:hAnsi="Arial" w:cs="Arial"/>
          <w:sz w:val="20"/>
        </w:rPr>
        <w:t>storage resources</w:t>
      </w:r>
      <w:r w:rsidRPr="00D30BC1">
        <w:rPr>
          <w:rFonts w:ascii="Arial" w:hAnsi="Arial" w:cs="Arial"/>
          <w:sz w:val="20"/>
        </w:rPr>
        <w:t xml:space="preserve">, the </w:t>
      </w:r>
      <w:r w:rsidRPr="00D30BC1">
        <w:rPr>
          <w:rFonts w:cs="Arial"/>
          <w:sz w:val="18"/>
        </w:rPr>
        <w:t>“</w:t>
      </w:r>
      <w:r w:rsidRPr="00D30BC1">
        <w:rPr>
          <w:rFonts w:ascii="Arial" w:hAnsi="Arial" w:cs="Arial"/>
          <w:sz w:val="20"/>
        </w:rPr>
        <w:t>chance of commerciality</w:t>
      </w:r>
      <w:r w:rsidRPr="00D30BC1">
        <w:rPr>
          <w:rFonts w:cs="Arial"/>
          <w:sz w:val="18"/>
        </w:rPr>
        <w:t>”</w:t>
      </w:r>
      <w:r w:rsidRPr="00D30BC1">
        <w:rPr>
          <w:rFonts w:ascii="Arial" w:hAnsi="Arial" w:cs="Arial"/>
          <w:sz w:val="20"/>
        </w:rPr>
        <w:t xml:space="preserve"> is the product of these two risk components. For a discovered </w:t>
      </w:r>
      <w:r>
        <w:rPr>
          <w:rFonts w:ascii="Arial" w:hAnsi="Arial" w:cs="Arial"/>
          <w:sz w:val="20"/>
        </w:rPr>
        <w:t xml:space="preserve">injectable geologic formation </w:t>
      </w:r>
      <w:r w:rsidRPr="00D30BC1">
        <w:rPr>
          <w:rFonts w:ascii="Arial" w:hAnsi="Arial" w:cs="Arial"/>
          <w:sz w:val="20"/>
        </w:rPr>
        <w:t xml:space="preserve">where the </w:t>
      </w:r>
      <w:r w:rsidRPr="00D30BC1">
        <w:rPr>
          <w:rFonts w:cs="Arial"/>
          <w:sz w:val="18"/>
        </w:rPr>
        <w:t>“</w:t>
      </w:r>
      <w:r w:rsidRPr="00D30BC1">
        <w:rPr>
          <w:rFonts w:ascii="Arial" w:hAnsi="Arial" w:cs="Arial"/>
          <w:sz w:val="20"/>
        </w:rPr>
        <w:t>chance of discovery</w:t>
      </w:r>
      <w:r w:rsidRPr="00D30BC1">
        <w:rPr>
          <w:rFonts w:cs="Arial"/>
          <w:sz w:val="18"/>
        </w:rPr>
        <w:t>”</w:t>
      </w:r>
      <w:r w:rsidRPr="00D30BC1">
        <w:rPr>
          <w:rFonts w:ascii="Arial" w:hAnsi="Arial" w:cs="Arial"/>
          <w:sz w:val="20"/>
        </w:rPr>
        <w:t xml:space="preserve"> is 100%, the </w:t>
      </w:r>
      <w:r w:rsidRPr="00D30BC1">
        <w:rPr>
          <w:rFonts w:cs="Arial"/>
          <w:sz w:val="18"/>
        </w:rPr>
        <w:t>“</w:t>
      </w:r>
      <w:r w:rsidRPr="00D30BC1">
        <w:rPr>
          <w:rFonts w:ascii="Arial" w:hAnsi="Arial" w:cs="Arial"/>
          <w:sz w:val="20"/>
        </w:rPr>
        <w:t>chance of commerciality</w:t>
      </w:r>
      <w:r w:rsidRPr="00D30BC1">
        <w:rPr>
          <w:rFonts w:cs="Arial"/>
          <w:sz w:val="18"/>
        </w:rPr>
        <w:t>”</w:t>
      </w:r>
      <w:r w:rsidRPr="00D30BC1">
        <w:rPr>
          <w:rFonts w:ascii="Arial" w:hAnsi="Arial" w:cs="Arial"/>
          <w:sz w:val="20"/>
        </w:rPr>
        <w:t xml:space="preserve"> becomes equivalent to the </w:t>
      </w:r>
      <w:r w:rsidRPr="00D30BC1">
        <w:rPr>
          <w:rFonts w:cs="Arial"/>
          <w:sz w:val="18"/>
        </w:rPr>
        <w:t>“</w:t>
      </w:r>
      <w:r w:rsidRPr="00D30BC1">
        <w:rPr>
          <w:rFonts w:ascii="Arial" w:hAnsi="Arial" w:cs="Arial"/>
          <w:sz w:val="20"/>
        </w:rPr>
        <w:t>chance of development.</w:t>
      </w:r>
      <w:r w:rsidRPr="00D30BC1">
        <w:rPr>
          <w:rFonts w:cs="Arial"/>
          <w:sz w:val="18"/>
        </w:rPr>
        <w:t>”</w:t>
      </w:r>
    </w:p>
    <w:p w14:paraId="2C9C2313" w14:textId="77777777" w:rsidR="009418F2" w:rsidRPr="00D30BC1" w:rsidRDefault="009418F2" w:rsidP="009418F2">
      <w:pPr>
        <w:pStyle w:val="BodyText"/>
        <w:jc w:val="both"/>
        <w:rPr>
          <w:i/>
          <w:iCs/>
        </w:rPr>
      </w:pPr>
    </w:p>
    <w:p w14:paraId="7CFA670A" w14:textId="77777777" w:rsidR="009418F2" w:rsidRPr="00D30BC1" w:rsidRDefault="009418F2" w:rsidP="009418F2">
      <w:pPr>
        <w:pStyle w:val="BodyText"/>
        <w:numPr>
          <w:ilvl w:val="3"/>
          <w:numId w:val="23"/>
        </w:numPr>
        <w:jc w:val="both"/>
        <w:rPr>
          <w:b/>
          <w:bCs/>
          <w:u w:val="single"/>
        </w:rPr>
      </w:pPr>
      <w:r w:rsidRPr="00D30BC1">
        <w:rPr>
          <w:b/>
          <w:bCs/>
          <w:u w:val="single"/>
        </w:rPr>
        <w:t>Project Maturity Sub-Classes</w:t>
      </w:r>
    </w:p>
    <w:p w14:paraId="2D4FF45A" w14:textId="77777777" w:rsidR="009418F2" w:rsidRPr="00D30BC1" w:rsidRDefault="009418F2" w:rsidP="009418F2">
      <w:pPr>
        <w:pStyle w:val="BodyText"/>
        <w:ind w:left="360"/>
        <w:jc w:val="both"/>
        <w:rPr>
          <w:b/>
          <w:bCs/>
          <w:u w:val="single"/>
        </w:rPr>
      </w:pPr>
    </w:p>
    <w:p w14:paraId="6F5DF523" w14:textId="77777777" w:rsidR="009418F2" w:rsidRPr="00D30BC1" w:rsidRDefault="009418F2" w:rsidP="009418F2">
      <w:pPr>
        <w:pStyle w:val="BodyText"/>
        <w:jc w:val="both"/>
      </w:pPr>
      <w:r w:rsidRPr="00D30BC1">
        <w:t xml:space="preserve">As illustrated in Figure 2-1, development projects (and their associated </w:t>
      </w:r>
      <w:r>
        <w:t>storable</w:t>
      </w:r>
      <w:r w:rsidRPr="00D30BC1">
        <w:t xml:space="preserve"> </w:t>
      </w:r>
      <w:r>
        <w:t>quantities</w:t>
      </w:r>
      <w:r w:rsidRPr="00D30BC1">
        <w:t xml:space="preserve">) may be sub-classified according to project maturity levels and the associated actions (business decisions) required to move a project toward commercial </w:t>
      </w:r>
      <w:r>
        <w:t>injection</w:t>
      </w:r>
      <w:r w:rsidRPr="00D30BC1">
        <w:t xml:space="preserve">. </w:t>
      </w:r>
    </w:p>
    <w:p w14:paraId="029234C2" w14:textId="77777777" w:rsidR="009418F2" w:rsidRDefault="009418F2" w:rsidP="009418F2">
      <w:pPr>
        <w:pStyle w:val="BodyText2"/>
      </w:pPr>
    </w:p>
    <w:p w14:paraId="3DFE9F76" w14:textId="77777777" w:rsidR="009418F2" w:rsidRDefault="009418F2" w:rsidP="009418F2">
      <w:pPr>
        <w:pStyle w:val="BodyText2"/>
      </w:pPr>
    </w:p>
    <w:p w14:paraId="6C38596B" w14:textId="77777777" w:rsidR="009418F2" w:rsidRPr="00D30BC1" w:rsidRDefault="00A2619F" w:rsidP="009418F2">
      <w:pPr>
        <w:pStyle w:val="BodyText2"/>
      </w:pPr>
      <w:r w:rsidRPr="00A2619F">
        <w:rPr>
          <w:noProof/>
        </w:rPr>
        <w:drawing>
          <wp:inline distT="0" distB="0" distL="0" distR="0" wp14:anchorId="07E8CDD8" wp14:editId="092D8062">
            <wp:extent cx="5486400" cy="467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675300"/>
                    </a:xfrm>
                    <a:prstGeom prst="rect">
                      <a:avLst/>
                    </a:prstGeom>
                    <a:noFill/>
                    <a:ln>
                      <a:noFill/>
                    </a:ln>
                  </pic:spPr>
                </pic:pic>
              </a:graphicData>
            </a:graphic>
          </wp:inline>
        </w:drawing>
      </w:r>
    </w:p>
    <w:p w14:paraId="48CB4FC3" w14:textId="77777777" w:rsidR="009418F2" w:rsidRPr="00D30BC1" w:rsidRDefault="009418F2" w:rsidP="009418F2">
      <w:pPr>
        <w:pStyle w:val="BodyText"/>
        <w:jc w:val="center"/>
        <w:rPr>
          <w:sz w:val="18"/>
        </w:rPr>
      </w:pPr>
      <w:r w:rsidRPr="00D30BC1">
        <w:rPr>
          <w:sz w:val="18"/>
        </w:rPr>
        <w:t>Figure 2-1: Sub-classes based on Project Maturity.</w:t>
      </w:r>
    </w:p>
    <w:p w14:paraId="3ABFC947" w14:textId="77777777" w:rsidR="009418F2" w:rsidRPr="00D30BC1" w:rsidRDefault="009418F2" w:rsidP="009418F2">
      <w:pPr>
        <w:pStyle w:val="BodyText"/>
        <w:jc w:val="center"/>
        <w:rPr>
          <w:sz w:val="18"/>
        </w:rPr>
      </w:pPr>
    </w:p>
    <w:p w14:paraId="6A996FAC" w14:textId="77777777" w:rsidR="009418F2" w:rsidRPr="00D30BC1" w:rsidRDefault="009418F2" w:rsidP="009418F2">
      <w:pPr>
        <w:pStyle w:val="BodyText"/>
        <w:jc w:val="both"/>
      </w:pPr>
      <w:r w:rsidRPr="00151FFC">
        <w:t>Detailed definitions and guidelines for each Project Maturity sub-class are provided in Table I.</w:t>
      </w:r>
      <w:r w:rsidRPr="00D30BC1">
        <w:t xml:space="preserve"> This approach supports managing portfolios of opportunities at various stages of exploration and development and may be supplemented by associated quantitative estimates of chance of commerciality. The boundaries between different levels of project maturity may be referred to as </w:t>
      </w:r>
      <w:r w:rsidRPr="00D30BC1">
        <w:rPr>
          <w:rFonts w:ascii="Times New Roman" w:hAnsi="Times New Roman"/>
          <w:sz w:val="18"/>
        </w:rPr>
        <w:t>“</w:t>
      </w:r>
      <w:r w:rsidRPr="00D30BC1">
        <w:t>decision gates.</w:t>
      </w:r>
      <w:r w:rsidRPr="00D30BC1">
        <w:rPr>
          <w:rFonts w:ascii="Times New Roman" w:hAnsi="Times New Roman"/>
          <w:sz w:val="18"/>
        </w:rPr>
        <w:t>”</w:t>
      </w:r>
    </w:p>
    <w:p w14:paraId="1B5E133F" w14:textId="77777777" w:rsidR="009418F2" w:rsidRPr="00D30BC1" w:rsidRDefault="009418F2" w:rsidP="009418F2">
      <w:pPr>
        <w:pStyle w:val="BodyText"/>
        <w:jc w:val="both"/>
        <w:rPr>
          <w:sz w:val="18"/>
        </w:rPr>
      </w:pPr>
    </w:p>
    <w:p w14:paraId="031511BC" w14:textId="77777777" w:rsidR="009418F2" w:rsidRPr="00E161C7" w:rsidRDefault="009418F2" w:rsidP="009418F2">
      <w:pPr>
        <w:jc w:val="both"/>
        <w:rPr>
          <w:rFonts w:ascii="Arial" w:eastAsia="Arial Unicode MS" w:hAnsi="Arial" w:cs="Arial"/>
          <w:sz w:val="20"/>
        </w:rPr>
      </w:pPr>
      <w:r w:rsidRPr="00D30BC1">
        <w:rPr>
          <w:rFonts w:ascii="Arial" w:eastAsia="Arial Unicode MS" w:hAnsi="Arial" w:cs="Arial"/>
          <w:iCs/>
          <w:sz w:val="20"/>
        </w:rPr>
        <w:t xml:space="preserve">Decisions within the </w:t>
      </w:r>
      <w:r>
        <w:rPr>
          <w:rFonts w:ascii="Arial" w:eastAsia="Arial Unicode MS" w:hAnsi="Arial" w:cs="Arial"/>
          <w:iCs/>
          <w:sz w:val="20"/>
        </w:rPr>
        <w:t>Capacity</w:t>
      </w:r>
      <w:r w:rsidRPr="00D30BC1">
        <w:rPr>
          <w:rFonts w:ascii="Arial" w:eastAsia="Arial Unicode MS" w:hAnsi="Arial" w:cs="Arial"/>
          <w:iCs/>
          <w:sz w:val="20"/>
        </w:rPr>
        <w:t xml:space="preserve"> class are based on those actions that progress a project through final </w:t>
      </w:r>
      <w:r w:rsidRPr="00E161C7">
        <w:rPr>
          <w:rFonts w:ascii="Arial" w:eastAsia="Arial Unicode MS" w:hAnsi="Arial" w:cs="Arial"/>
          <w:iCs/>
          <w:sz w:val="20"/>
        </w:rPr>
        <w:t>approvals to implementation and initiation of injection.</w:t>
      </w:r>
      <w:r w:rsidRPr="00E161C7">
        <w:rPr>
          <w:sz w:val="20"/>
        </w:rPr>
        <w:t xml:space="preserve"> </w:t>
      </w:r>
      <w:r w:rsidRPr="00E161C7">
        <w:rPr>
          <w:rFonts w:ascii="Arial" w:eastAsia="Arial Unicode MS" w:hAnsi="Arial" w:cs="Arial"/>
          <w:sz w:val="20"/>
        </w:rPr>
        <w:t>For Contingent</w:t>
      </w:r>
      <w:r w:rsidRPr="00E161C7">
        <w:rPr>
          <w:rFonts w:ascii="Arial" w:eastAsia="Arial Unicode MS" w:hAnsi="Arial" w:cs="Arial"/>
          <w:iCs/>
          <w:sz w:val="20"/>
        </w:rPr>
        <w:t xml:space="preserve"> Storage Resources, supporting analysis should focus on gathering data and performing analyses to clarify and then mitigate those key conditions, or contingencies, which prevent commercial development. </w:t>
      </w:r>
    </w:p>
    <w:p w14:paraId="5A561577" w14:textId="77777777" w:rsidR="009418F2" w:rsidRPr="00E161C7" w:rsidRDefault="009418F2" w:rsidP="009418F2">
      <w:pPr>
        <w:jc w:val="both"/>
        <w:rPr>
          <w:rFonts w:ascii="Arial" w:eastAsia="Arial Unicode MS" w:hAnsi="Arial" w:cs="Arial"/>
          <w:sz w:val="20"/>
        </w:rPr>
      </w:pPr>
    </w:p>
    <w:p w14:paraId="33824A9A" w14:textId="77777777" w:rsidR="009418F2" w:rsidRPr="00D30BC1" w:rsidRDefault="009418F2" w:rsidP="009418F2">
      <w:pPr>
        <w:jc w:val="both"/>
        <w:rPr>
          <w:rFonts w:ascii="Arial" w:hAnsi="Arial" w:cs="Arial"/>
          <w:iCs/>
          <w:sz w:val="20"/>
          <w:szCs w:val="20"/>
        </w:rPr>
      </w:pPr>
      <w:r w:rsidRPr="00E161C7">
        <w:rPr>
          <w:rFonts w:ascii="Arial" w:eastAsia="Arial Unicode MS" w:hAnsi="Arial" w:cs="Arial"/>
          <w:iCs/>
          <w:sz w:val="20"/>
        </w:rPr>
        <w:t>For Prospective Storage Resources, these potential</w:t>
      </w:r>
      <w:r w:rsidR="00E161C7">
        <w:rPr>
          <w:rFonts w:ascii="Arial" w:eastAsia="Arial Unicode MS" w:hAnsi="Arial" w:cs="Arial"/>
          <w:iCs/>
          <w:sz w:val="20"/>
        </w:rPr>
        <w:t xml:space="preserve"> </w:t>
      </w:r>
      <w:r w:rsidR="00AA2265">
        <w:rPr>
          <w:rFonts w:ascii="Arial" w:eastAsia="Arial Unicode MS" w:hAnsi="Arial" w:cs="Arial"/>
          <w:iCs/>
          <w:sz w:val="20"/>
        </w:rPr>
        <w:t xml:space="preserve">storable quantities </w:t>
      </w:r>
      <w:r w:rsidRPr="00E161C7">
        <w:rPr>
          <w:rFonts w:ascii="Arial" w:eastAsia="Arial Unicode MS" w:hAnsi="Arial" w:cs="Arial"/>
          <w:iCs/>
          <w:sz w:val="20"/>
        </w:rPr>
        <w:t>are evaluated according to their</w:t>
      </w:r>
      <w:r w:rsidRPr="00D30BC1">
        <w:rPr>
          <w:rFonts w:ascii="Arial" w:eastAsia="Arial Unicode MS" w:hAnsi="Arial" w:cs="Arial"/>
          <w:iCs/>
          <w:sz w:val="20"/>
        </w:rPr>
        <w:t xml:space="preserve"> chance of discovery and, assuming a discovery, the estimated </w:t>
      </w:r>
      <w:r>
        <w:rPr>
          <w:rFonts w:ascii="Arial" w:eastAsia="Arial Unicode MS" w:hAnsi="Arial" w:cs="Arial"/>
          <w:iCs/>
          <w:sz w:val="20"/>
        </w:rPr>
        <w:t xml:space="preserve">quantities </w:t>
      </w:r>
      <w:r w:rsidRPr="00D30BC1">
        <w:rPr>
          <w:rFonts w:ascii="Arial" w:eastAsia="Arial Unicode MS" w:hAnsi="Arial" w:cs="Arial"/>
          <w:iCs/>
          <w:sz w:val="20"/>
        </w:rPr>
        <w:t xml:space="preserve">that would be </w:t>
      </w:r>
      <w:r>
        <w:rPr>
          <w:rFonts w:ascii="Arial" w:eastAsia="Arial Unicode MS" w:hAnsi="Arial" w:cs="Arial"/>
          <w:iCs/>
          <w:sz w:val="20"/>
        </w:rPr>
        <w:t>storable</w:t>
      </w:r>
      <w:r w:rsidRPr="00D30BC1">
        <w:rPr>
          <w:rFonts w:ascii="Arial" w:eastAsia="Arial Unicode MS" w:hAnsi="Arial" w:cs="Arial"/>
          <w:iCs/>
          <w:sz w:val="20"/>
        </w:rPr>
        <w:t xml:space="preserve"> under appropriate development projects. The decision at each phase is to </w:t>
      </w:r>
      <w:r w:rsidRPr="00D30BC1">
        <w:rPr>
          <w:rFonts w:ascii="Arial" w:eastAsia="Arial Unicode MS" w:hAnsi="Arial" w:cs="Arial"/>
          <w:sz w:val="20"/>
        </w:rPr>
        <w:t xml:space="preserve">undertake further data acquisition and/or studies designed to move the project to a level of technical and commercial maturity where a decision can be made to proceed with </w:t>
      </w:r>
      <w:r w:rsidRPr="00D30BC1">
        <w:rPr>
          <w:rFonts w:ascii="Arial" w:hAnsi="Arial" w:cs="Arial"/>
          <w:sz w:val="20"/>
          <w:szCs w:val="20"/>
        </w:rPr>
        <w:t>exploration drilling.</w:t>
      </w:r>
    </w:p>
    <w:p w14:paraId="2874D4A8" w14:textId="77777777" w:rsidR="009418F2" w:rsidRPr="00D30BC1" w:rsidRDefault="009418F2" w:rsidP="009418F2">
      <w:pPr>
        <w:jc w:val="both"/>
        <w:rPr>
          <w:rFonts w:ascii="Arial" w:hAnsi="Arial" w:cs="Arial"/>
          <w:b/>
          <w:bCs/>
          <w:iCs/>
          <w:sz w:val="20"/>
          <w:szCs w:val="20"/>
        </w:rPr>
      </w:pPr>
    </w:p>
    <w:p w14:paraId="250EFB4A" w14:textId="77777777" w:rsidR="009418F2" w:rsidRPr="00D30BC1" w:rsidRDefault="009418F2" w:rsidP="009418F2">
      <w:pPr>
        <w:jc w:val="both"/>
        <w:rPr>
          <w:rFonts w:ascii="Arial" w:hAnsi="Arial" w:cs="Arial"/>
          <w:sz w:val="20"/>
        </w:rPr>
      </w:pPr>
      <w:r w:rsidRPr="00D30BC1">
        <w:rPr>
          <w:rFonts w:ascii="Arial" w:hAnsi="Arial" w:cs="Arial"/>
          <w:iCs/>
          <w:sz w:val="20"/>
        </w:rPr>
        <w:t>Evaluators may adopt alternative sub-classes and project maturity modifiers, but the concept of increasing chance of commerciality should be a key enabler in applying the overall classification system and supporting portfolio management</w:t>
      </w:r>
      <w:r w:rsidRPr="00D30BC1">
        <w:rPr>
          <w:rFonts w:ascii="Arial" w:hAnsi="Arial" w:cs="Arial"/>
          <w:sz w:val="20"/>
        </w:rPr>
        <w:t xml:space="preserve">.  </w:t>
      </w:r>
    </w:p>
    <w:p w14:paraId="4ACAF995" w14:textId="77777777" w:rsidR="009418F2" w:rsidRPr="00D30BC1" w:rsidRDefault="009418F2" w:rsidP="009418F2">
      <w:pPr>
        <w:pStyle w:val="BodyText"/>
        <w:ind w:firstLine="720"/>
        <w:rPr>
          <w:b/>
          <w:bCs/>
          <w:u w:val="single"/>
        </w:rPr>
      </w:pPr>
    </w:p>
    <w:p w14:paraId="67D5AFB4" w14:textId="77777777" w:rsidR="009418F2" w:rsidRPr="00D30BC1" w:rsidRDefault="00E161C7" w:rsidP="009418F2">
      <w:pPr>
        <w:pStyle w:val="BodyText"/>
        <w:numPr>
          <w:ilvl w:val="3"/>
          <w:numId w:val="23"/>
        </w:numPr>
        <w:rPr>
          <w:b/>
          <w:bCs/>
          <w:u w:val="single"/>
        </w:rPr>
      </w:pPr>
      <w:r>
        <w:rPr>
          <w:b/>
          <w:bCs/>
          <w:u w:val="single"/>
        </w:rPr>
        <w:t>Capacity</w:t>
      </w:r>
      <w:r w:rsidRPr="00D30BC1">
        <w:rPr>
          <w:b/>
          <w:bCs/>
          <w:u w:val="single"/>
        </w:rPr>
        <w:t xml:space="preserve"> </w:t>
      </w:r>
      <w:r w:rsidR="009418F2" w:rsidRPr="00D30BC1">
        <w:rPr>
          <w:b/>
          <w:bCs/>
          <w:u w:val="single"/>
        </w:rPr>
        <w:t>Status</w:t>
      </w:r>
    </w:p>
    <w:p w14:paraId="0BC27FC9" w14:textId="77777777" w:rsidR="009418F2" w:rsidRPr="00D30BC1" w:rsidRDefault="009418F2" w:rsidP="009418F2">
      <w:pPr>
        <w:pStyle w:val="BodyText"/>
        <w:ind w:left="360"/>
      </w:pPr>
    </w:p>
    <w:p w14:paraId="3FACEB01" w14:textId="77777777" w:rsidR="009418F2" w:rsidRPr="00D30BC1" w:rsidRDefault="009418F2" w:rsidP="009418F2">
      <w:pPr>
        <w:pStyle w:val="BodyText"/>
        <w:jc w:val="both"/>
      </w:pPr>
      <w:r w:rsidRPr="00D30BC1">
        <w:t xml:space="preserve">Once projects satisfy </w:t>
      </w:r>
      <w:r>
        <w:t xml:space="preserve">chance of </w:t>
      </w:r>
      <w:r w:rsidRPr="00D30BC1">
        <w:t>commercial</w:t>
      </w:r>
      <w:r>
        <w:t>ity</w:t>
      </w:r>
      <w:r w:rsidRPr="00D30BC1">
        <w:t xml:space="preserve"> criteria, the associated </w:t>
      </w:r>
      <w:r w:rsidR="0073007F">
        <w:t xml:space="preserve">storage </w:t>
      </w:r>
      <w:r>
        <w:t xml:space="preserve">quantities are </w:t>
      </w:r>
      <w:r w:rsidRPr="00D30BC1">
        <w:t xml:space="preserve">classified as </w:t>
      </w:r>
      <w:r>
        <w:t>Capacity</w:t>
      </w:r>
      <w:r w:rsidRPr="00D30BC1">
        <w:t>. Th</w:t>
      </w:r>
      <w:r>
        <w:t>ese</w:t>
      </w:r>
      <w:r w:rsidR="0073007F">
        <w:t xml:space="preserve"> storage</w:t>
      </w:r>
      <w:r>
        <w:t xml:space="preserve"> quantities </w:t>
      </w:r>
      <w:r w:rsidRPr="00D30BC1">
        <w:t>may be allocated to the following subdivisions based on the funding and operational status of wells and associated facilities within the development plan (detailed definitions and guidelines are provided in Table 2):</w:t>
      </w:r>
    </w:p>
    <w:p w14:paraId="67C06CE9" w14:textId="77777777" w:rsidR="009418F2" w:rsidRPr="00D30BC1" w:rsidRDefault="009418F2" w:rsidP="009418F2">
      <w:pPr>
        <w:jc w:val="both"/>
        <w:rPr>
          <w:rFonts w:ascii="Arial" w:hAnsi="Arial" w:cs="Arial"/>
          <w:sz w:val="20"/>
        </w:rPr>
      </w:pPr>
    </w:p>
    <w:p w14:paraId="5C1F27E5" w14:textId="77777777" w:rsidR="009418F2" w:rsidRPr="00E161C7" w:rsidRDefault="009418F2" w:rsidP="009418F2">
      <w:pPr>
        <w:pStyle w:val="BodyText"/>
        <w:numPr>
          <w:ilvl w:val="0"/>
          <w:numId w:val="18"/>
        </w:numPr>
        <w:jc w:val="both"/>
      </w:pPr>
      <w:r w:rsidRPr="00E161C7">
        <w:t xml:space="preserve">Developed Capacity </w:t>
      </w:r>
      <w:r w:rsidR="002C736E">
        <w:t>is</w:t>
      </w:r>
      <w:r w:rsidRPr="00E161C7">
        <w:t xml:space="preserve"> the expected quantit</w:t>
      </w:r>
      <w:r w:rsidR="002C736E">
        <w:t>y</w:t>
      </w:r>
      <w:r w:rsidRPr="00E161C7">
        <w:t xml:space="preserve"> </w:t>
      </w:r>
      <w:r w:rsidR="002C736E">
        <w:t xml:space="preserve">that can </w:t>
      </w:r>
      <w:r w:rsidRPr="00E161C7">
        <w:t xml:space="preserve">be storable leveraging existing wells and facilities. </w:t>
      </w:r>
    </w:p>
    <w:p w14:paraId="324A62B2" w14:textId="77777777" w:rsidR="009418F2" w:rsidRPr="00E161C7" w:rsidRDefault="009418F2" w:rsidP="009418F2">
      <w:pPr>
        <w:numPr>
          <w:ilvl w:val="1"/>
          <w:numId w:val="6"/>
        </w:numPr>
        <w:jc w:val="both"/>
        <w:rPr>
          <w:rFonts w:ascii="Arial" w:hAnsi="Arial" w:cs="Arial"/>
          <w:sz w:val="20"/>
        </w:rPr>
      </w:pPr>
      <w:r w:rsidRPr="002C736E">
        <w:rPr>
          <w:rStyle w:val="Strong"/>
          <w:rFonts w:ascii="Arial" w:hAnsi="Arial" w:cs="Arial"/>
          <w:b w:val="0"/>
          <w:sz w:val="20"/>
        </w:rPr>
        <w:t>Developed Injection Capacity</w:t>
      </w:r>
      <w:r w:rsidRPr="00E161C7">
        <w:rPr>
          <w:rFonts w:ascii="Arial" w:hAnsi="Arial" w:cs="Arial"/>
          <w:sz w:val="20"/>
        </w:rPr>
        <w:t xml:space="preserve"> is expected to be storable from completion intervals that are open and injecting at the time of the estimate. </w:t>
      </w:r>
    </w:p>
    <w:p w14:paraId="6AB90CB8" w14:textId="77777777" w:rsidR="009418F2" w:rsidRPr="00E161C7" w:rsidRDefault="009418F2" w:rsidP="009418F2">
      <w:pPr>
        <w:pStyle w:val="BodyText"/>
        <w:numPr>
          <w:ilvl w:val="1"/>
          <w:numId w:val="6"/>
        </w:numPr>
        <w:jc w:val="both"/>
      </w:pPr>
      <w:r w:rsidRPr="00E161C7">
        <w:t>Developed Non-Injecting Capacity include</w:t>
      </w:r>
      <w:r w:rsidR="002C736E">
        <w:t>s</w:t>
      </w:r>
      <w:r w:rsidRPr="00E161C7">
        <w:t xml:space="preserve"> shut-in and behind-pipe Capacity. </w:t>
      </w:r>
    </w:p>
    <w:p w14:paraId="5829E8AD" w14:textId="77777777" w:rsidR="009418F2" w:rsidRPr="009B1D56" w:rsidRDefault="009418F2" w:rsidP="009418F2">
      <w:pPr>
        <w:numPr>
          <w:ilvl w:val="0"/>
          <w:numId w:val="16"/>
        </w:numPr>
        <w:jc w:val="both"/>
        <w:rPr>
          <w:rFonts w:ascii="Arial" w:hAnsi="Arial" w:cs="Arial"/>
          <w:b/>
          <w:bCs/>
          <w:sz w:val="20"/>
        </w:rPr>
      </w:pPr>
      <w:r w:rsidRPr="00E161C7">
        <w:rPr>
          <w:rFonts w:ascii="Arial" w:hAnsi="Arial" w:cs="Arial"/>
          <w:sz w:val="20"/>
        </w:rPr>
        <w:t>Undeveloped Capacity is the expected</w:t>
      </w:r>
      <w:r>
        <w:rPr>
          <w:rFonts w:ascii="Arial" w:hAnsi="Arial" w:cs="Arial"/>
          <w:sz w:val="20"/>
        </w:rPr>
        <w:t xml:space="preserve"> quantit</w:t>
      </w:r>
      <w:r w:rsidR="002C736E">
        <w:rPr>
          <w:rFonts w:ascii="Arial" w:hAnsi="Arial" w:cs="Arial"/>
          <w:sz w:val="20"/>
        </w:rPr>
        <w:t>y</w:t>
      </w:r>
      <w:r>
        <w:rPr>
          <w:rFonts w:ascii="Arial" w:hAnsi="Arial" w:cs="Arial"/>
          <w:sz w:val="20"/>
        </w:rPr>
        <w:t xml:space="preserve"> </w:t>
      </w:r>
      <w:r w:rsidRPr="00D30BC1">
        <w:rPr>
          <w:rFonts w:ascii="Arial" w:hAnsi="Arial" w:cs="Arial"/>
          <w:sz w:val="20"/>
        </w:rPr>
        <w:t xml:space="preserve">to be </w:t>
      </w:r>
      <w:r>
        <w:rPr>
          <w:rFonts w:ascii="Arial" w:hAnsi="Arial" w:cs="Arial"/>
          <w:sz w:val="20"/>
        </w:rPr>
        <w:t>storable</w:t>
      </w:r>
      <w:r w:rsidR="002C736E">
        <w:rPr>
          <w:rFonts w:ascii="Arial" w:hAnsi="Arial" w:cs="Arial"/>
          <w:sz w:val="20"/>
        </w:rPr>
        <w:t xml:space="preserve"> through future investments</w:t>
      </w:r>
      <w:r w:rsidRPr="00D30BC1">
        <w:rPr>
          <w:rFonts w:ascii="Arial" w:hAnsi="Arial" w:cs="Arial"/>
          <w:b/>
          <w:bCs/>
          <w:sz w:val="20"/>
        </w:rPr>
        <w:t xml:space="preserve">. </w:t>
      </w:r>
      <w:r w:rsidRPr="00D30BC1">
        <w:rPr>
          <w:rFonts w:ascii="Arial" w:hAnsi="Arial" w:cs="Arial"/>
          <w:sz w:val="20"/>
        </w:rPr>
        <w:t xml:space="preserve"> </w:t>
      </w:r>
    </w:p>
    <w:p w14:paraId="5AD01C06" w14:textId="77777777" w:rsidR="009418F2" w:rsidRPr="00D30BC1" w:rsidRDefault="009418F2" w:rsidP="009418F2">
      <w:pPr>
        <w:jc w:val="both"/>
        <w:rPr>
          <w:rFonts w:ascii="Arial" w:hAnsi="Arial" w:cs="Arial"/>
          <w:b/>
          <w:bCs/>
          <w:sz w:val="20"/>
        </w:rPr>
      </w:pPr>
    </w:p>
    <w:p w14:paraId="7CCFF096" w14:textId="77777777" w:rsidR="009418F2" w:rsidRPr="00D30BC1" w:rsidRDefault="009418F2" w:rsidP="009418F2">
      <w:pPr>
        <w:pStyle w:val="BodyTextIndent2"/>
        <w:ind w:left="0"/>
        <w:jc w:val="both"/>
      </w:pPr>
      <w:r w:rsidRPr="00D30BC1">
        <w:t xml:space="preserve">Where </w:t>
      </w:r>
      <w:r>
        <w:t>Capacity</w:t>
      </w:r>
      <w:r w:rsidRPr="00D30BC1">
        <w:t xml:space="preserve"> remain</w:t>
      </w:r>
      <w:r>
        <w:t>s</w:t>
      </w:r>
      <w:r w:rsidRPr="00D30BC1">
        <w:t xml:space="preserve"> undeveloped beyond a reasonable timeframe, or have remained undeveloped due to repeated postponements, evaluations should be critically reviewed to document reasons for the delay in initiating </w:t>
      </w:r>
      <w:r>
        <w:t>injection</w:t>
      </w:r>
      <w:r w:rsidRPr="00D30BC1">
        <w:t xml:space="preserve"> and justify retaining these quantities within the </w:t>
      </w:r>
      <w:r>
        <w:t>Capacity</w:t>
      </w:r>
      <w:r w:rsidRPr="00D30BC1">
        <w:t xml:space="preserve"> class. </w:t>
      </w:r>
      <w:bookmarkStart w:id="3" w:name="OLE_LINK1"/>
      <w:r w:rsidRPr="00D30BC1">
        <w:t>While there are specific circumstances where a longer delay (</w:t>
      </w:r>
      <w:r w:rsidRPr="00C032F7">
        <w:t>see Determination of Commerciality, section 2.1.2</w:t>
      </w:r>
      <w:r w:rsidRPr="00D30BC1">
        <w:t xml:space="preserve">) is justified, a reasonable time frame is generally considered to be less than </w:t>
      </w:r>
      <w:r w:rsidR="002C736E">
        <w:t>five (</w:t>
      </w:r>
      <w:r w:rsidRPr="00D30BC1">
        <w:t>5</w:t>
      </w:r>
      <w:r w:rsidR="002C736E">
        <w:t>)</w:t>
      </w:r>
      <w:r w:rsidRPr="00D30BC1">
        <w:t xml:space="preserve"> years. </w:t>
      </w:r>
    </w:p>
    <w:bookmarkEnd w:id="3"/>
    <w:p w14:paraId="504DA599" w14:textId="77777777" w:rsidR="009418F2" w:rsidRPr="00D30BC1" w:rsidRDefault="009418F2" w:rsidP="009418F2">
      <w:pPr>
        <w:jc w:val="both"/>
        <w:rPr>
          <w:rFonts w:ascii="Arial" w:hAnsi="Arial" w:cs="Arial"/>
          <w:b/>
          <w:bCs/>
          <w:sz w:val="20"/>
        </w:rPr>
      </w:pPr>
    </w:p>
    <w:p w14:paraId="4DD6C934" w14:textId="77777777" w:rsidR="009418F2" w:rsidRPr="00E161C7" w:rsidRDefault="009418F2" w:rsidP="009418F2">
      <w:pPr>
        <w:jc w:val="both"/>
        <w:rPr>
          <w:rFonts w:ascii="Arial" w:hAnsi="Arial" w:cs="Arial"/>
          <w:sz w:val="20"/>
        </w:rPr>
      </w:pPr>
      <w:r w:rsidRPr="00E161C7">
        <w:rPr>
          <w:rFonts w:ascii="Arial" w:hAnsi="Arial" w:cs="Arial"/>
          <w:sz w:val="20"/>
        </w:rPr>
        <w:t xml:space="preserve">Development and injection status are of significant importance for project management. While Capacity Status has been applied to Proved Capacity, the same concept of Developed and Undeveloped Status based on the funding and operational status of wells and injection facilities within the development project are applicable throughout the full range of Capacity uncertainty categories (Proved, Probable and Possible). </w:t>
      </w:r>
    </w:p>
    <w:p w14:paraId="43F1BBF0" w14:textId="77777777" w:rsidR="009418F2" w:rsidRPr="00E161C7" w:rsidRDefault="009418F2" w:rsidP="009418F2">
      <w:pPr>
        <w:jc w:val="both"/>
        <w:rPr>
          <w:rFonts w:ascii="Arial" w:hAnsi="Arial" w:cs="Arial"/>
          <w:sz w:val="20"/>
        </w:rPr>
      </w:pPr>
    </w:p>
    <w:p w14:paraId="2BC3BD2E" w14:textId="77777777" w:rsidR="009418F2" w:rsidRPr="000C6D49" w:rsidRDefault="009418F2" w:rsidP="009418F2">
      <w:pPr>
        <w:jc w:val="both"/>
        <w:rPr>
          <w:rFonts w:ascii="Arial" w:hAnsi="Arial" w:cs="Arial"/>
          <w:sz w:val="20"/>
        </w:rPr>
      </w:pPr>
      <w:r w:rsidRPr="00E161C7">
        <w:rPr>
          <w:rFonts w:ascii="Arial" w:hAnsi="Arial" w:cs="Arial"/>
          <w:sz w:val="20"/>
        </w:rPr>
        <w:t>Quantities may be subdivided by Capacity Status independent of sub-classification by Project Maturity. If applied in combination, Developed and/or Undeveloped Capacity quantities may be identified separately within each Capacity sub-class (On Injection, Approved for Development, and Justified for Development).</w:t>
      </w:r>
      <w:r w:rsidRPr="00D30BC1">
        <w:rPr>
          <w:rFonts w:ascii="Arial" w:hAnsi="Arial" w:cs="Arial"/>
          <w:sz w:val="20"/>
        </w:rPr>
        <w:t xml:space="preserve">  </w:t>
      </w:r>
    </w:p>
    <w:p w14:paraId="0F3D6322" w14:textId="77777777" w:rsidR="009418F2" w:rsidRPr="00D30BC1" w:rsidRDefault="009418F2" w:rsidP="009418F2">
      <w:pPr>
        <w:jc w:val="both"/>
        <w:rPr>
          <w:rFonts w:ascii="Arial" w:hAnsi="Arial" w:cs="Arial"/>
          <w:i/>
          <w:iCs/>
          <w:sz w:val="20"/>
        </w:rPr>
      </w:pPr>
    </w:p>
    <w:p w14:paraId="4110C586" w14:textId="77777777" w:rsidR="009418F2" w:rsidRPr="00D30BC1" w:rsidRDefault="009418F2" w:rsidP="009418F2">
      <w:pPr>
        <w:jc w:val="both"/>
        <w:rPr>
          <w:rFonts w:ascii="Arial" w:hAnsi="Arial" w:cs="Arial"/>
          <w:i/>
          <w:iCs/>
          <w:sz w:val="20"/>
        </w:rPr>
      </w:pPr>
    </w:p>
    <w:p w14:paraId="3B768C08" w14:textId="77777777" w:rsidR="009418F2" w:rsidRPr="00D30BC1" w:rsidRDefault="009418F2" w:rsidP="009418F2">
      <w:pPr>
        <w:pStyle w:val="BodyText"/>
        <w:numPr>
          <w:ilvl w:val="3"/>
          <w:numId w:val="23"/>
        </w:numPr>
        <w:rPr>
          <w:b/>
          <w:bCs/>
          <w:u w:val="single"/>
        </w:rPr>
      </w:pPr>
      <w:r w:rsidRPr="00D30BC1">
        <w:rPr>
          <w:b/>
          <w:bCs/>
          <w:u w:val="single"/>
        </w:rPr>
        <w:t>Economic Status</w:t>
      </w:r>
    </w:p>
    <w:p w14:paraId="4DE6ED64" w14:textId="77777777" w:rsidR="009418F2" w:rsidRPr="00D30BC1" w:rsidRDefault="009418F2" w:rsidP="009418F2">
      <w:pPr>
        <w:pStyle w:val="BodyText"/>
        <w:ind w:left="360"/>
        <w:rPr>
          <w:b/>
          <w:bCs/>
          <w:u w:val="single"/>
        </w:rPr>
      </w:pPr>
    </w:p>
    <w:p w14:paraId="2F2DF10B" w14:textId="77777777" w:rsidR="009418F2" w:rsidRPr="00D30BC1" w:rsidRDefault="009418F2" w:rsidP="009418F2">
      <w:pPr>
        <w:jc w:val="both"/>
        <w:rPr>
          <w:rFonts w:ascii="Arial" w:hAnsi="Arial" w:cs="Arial"/>
          <w:sz w:val="20"/>
        </w:rPr>
      </w:pPr>
      <w:r w:rsidRPr="00D30BC1">
        <w:rPr>
          <w:rFonts w:ascii="Arial" w:hAnsi="Arial" w:cs="Arial"/>
          <w:sz w:val="20"/>
        </w:rPr>
        <w:t xml:space="preserve">Projects may be further characterized by their Economic Status. All projects classified as </w:t>
      </w:r>
      <w:r>
        <w:rPr>
          <w:rFonts w:ascii="Arial" w:hAnsi="Arial" w:cs="Arial"/>
          <w:sz w:val="20"/>
        </w:rPr>
        <w:t>Capacity</w:t>
      </w:r>
      <w:r w:rsidRPr="00D30BC1">
        <w:rPr>
          <w:rFonts w:ascii="Arial" w:hAnsi="Arial" w:cs="Arial"/>
          <w:sz w:val="20"/>
        </w:rPr>
        <w:t xml:space="preserve"> must be economic under defined conditions (see Commercial Evaluations, section 3.1). Based on assumptions regarding future conditions and their impact on ultimate economic viability, projects </w:t>
      </w:r>
      <w:r w:rsidRPr="00E161C7">
        <w:rPr>
          <w:rFonts w:ascii="Arial" w:hAnsi="Arial" w:cs="Arial"/>
          <w:sz w:val="20"/>
        </w:rPr>
        <w:t>currently classified as Contingent Storage Resources may be broadly divided into two groups:</w:t>
      </w:r>
      <w:r w:rsidRPr="00D30BC1">
        <w:rPr>
          <w:rFonts w:ascii="Arial" w:hAnsi="Arial" w:cs="Arial"/>
          <w:sz w:val="20"/>
        </w:rPr>
        <w:t xml:space="preserve"> </w:t>
      </w:r>
    </w:p>
    <w:p w14:paraId="1084F310" w14:textId="77777777" w:rsidR="009418F2" w:rsidRPr="00D30BC1" w:rsidRDefault="009418F2" w:rsidP="009418F2">
      <w:pPr>
        <w:pStyle w:val="CommentText"/>
        <w:jc w:val="both"/>
        <w:rPr>
          <w:rFonts w:ascii="Arial" w:hAnsi="Arial" w:cs="Arial"/>
          <w:szCs w:val="24"/>
        </w:rPr>
      </w:pPr>
    </w:p>
    <w:p w14:paraId="576D6BE7" w14:textId="77777777" w:rsidR="009418F2" w:rsidRPr="00E161C7" w:rsidRDefault="009418F2" w:rsidP="009418F2">
      <w:pPr>
        <w:numPr>
          <w:ilvl w:val="0"/>
          <w:numId w:val="16"/>
        </w:numPr>
        <w:jc w:val="both"/>
        <w:rPr>
          <w:rFonts w:ascii="Arial" w:hAnsi="Arial" w:cs="Arial"/>
          <w:sz w:val="20"/>
        </w:rPr>
      </w:pPr>
      <w:commentRangeStart w:id="4"/>
      <w:r w:rsidRPr="00E161C7">
        <w:rPr>
          <w:rFonts w:ascii="Arial" w:hAnsi="Arial" w:cs="Arial"/>
          <w:sz w:val="20"/>
        </w:rPr>
        <w:t xml:space="preserve">Economically Viable </w:t>
      </w:r>
      <w:commentRangeEnd w:id="4"/>
      <w:r w:rsidR="0073007F">
        <w:rPr>
          <w:rStyle w:val="CommentReference"/>
        </w:rPr>
        <w:commentReference w:id="4"/>
      </w:r>
      <w:commentRangeStart w:id="5"/>
      <w:r w:rsidRPr="00E161C7">
        <w:rPr>
          <w:rFonts w:ascii="Arial" w:hAnsi="Arial" w:cs="Arial"/>
          <w:sz w:val="20"/>
        </w:rPr>
        <w:t>Contingent</w:t>
      </w:r>
      <w:commentRangeEnd w:id="5"/>
      <w:r w:rsidRPr="00E161C7">
        <w:rPr>
          <w:rStyle w:val="CommentReference"/>
        </w:rPr>
        <w:commentReference w:id="5"/>
      </w:r>
      <w:r w:rsidRPr="00E161C7">
        <w:rPr>
          <w:rFonts w:ascii="Arial" w:hAnsi="Arial" w:cs="Arial"/>
          <w:sz w:val="20"/>
        </w:rPr>
        <w:t xml:space="preserve"> Storage Resources are those quantities associated with technically feasible projects that are either currently economic or projected to be economic under reasonably forecasted improvements in commercial conditions but are not committed for development because of one or more contingencies. </w:t>
      </w:r>
    </w:p>
    <w:p w14:paraId="1BD15483" w14:textId="77777777" w:rsidR="009418F2" w:rsidRPr="00E161C7" w:rsidRDefault="009418F2" w:rsidP="009418F2">
      <w:pPr>
        <w:jc w:val="both"/>
        <w:rPr>
          <w:rFonts w:ascii="Arial" w:hAnsi="Arial" w:cs="Arial"/>
          <w:sz w:val="20"/>
        </w:rPr>
      </w:pPr>
    </w:p>
    <w:p w14:paraId="48A3E607" w14:textId="77777777" w:rsidR="009418F2" w:rsidRPr="00D30BC1" w:rsidRDefault="009418F2" w:rsidP="009418F2">
      <w:pPr>
        <w:numPr>
          <w:ilvl w:val="0"/>
          <w:numId w:val="16"/>
        </w:numPr>
        <w:jc w:val="both"/>
        <w:rPr>
          <w:rFonts w:ascii="Arial" w:hAnsi="Arial" w:cs="Arial"/>
          <w:sz w:val="20"/>
        </w:rPr>
      </w:pPr>
      <w:r w:rsidRPr="00E161C7">
        <w:rPr>
          <w:rFonts w:ascii="Arial" w:hAnsi="Arial" w:cs="Arial"/>
          <w:sz w:val="20"/>
        </w:rPr>
        <w:t>Economically Not Viable Contingent Storage Resources are those quantities for which development projects are not economically injectable or not expected to be economically</w:t>
      </w:r>
      <w:r w:rsidRPr="00EB56A9">
        <w:rPr>
          <w:rFonts w:ascii="Arial" w:hAnsi="Arial" w:cs="Arial"/>
          <w:sz w:val="20"/>
        </w:rPr>
        <w:t xml:space="preserve"> </w:t>
      </w:r>
      <w:r>
        <w:rPr>
          <w:rFonts w:ascii="Arial" w:hAnsi="Arial" w:cs="Arial"/>
          <w:sz w:val="20"/>
        </w:rPr>
        <w:t>injectable</w:t>
      </w:r>
      <w:r w:rsidRPr="00EB56A9">
        <w:rPr>
          <w:rFonts w:ascii="Arial" w:hAnsi="Arial" w:cs="Arial"/>
          <w:sz w:val="20"/>
        </w:rPr>
        <w:t>, even considering reasonab</w:t>
      </w:r>
      <w:r>
        <w:rPr>
          <w:rFonts w:ascii="Arial" w:hAnsi="Arial" w:cs="Arial"/>
          <w:sz w:val="20"/>
        </w:rPr>
        <w:t>le</w:t>
      </w:r>
      <w:r w:rsidRPr="00EB56A9">
        <w:rPr>
          <w:rFonts w:ascii="Arial" w:hAnsi="Arial" w:cs="Arial"/>
          <w:sz w:val="20"/>
        </w:rPr>
        <w:t xml:space="preserve"> improvements in </w:t>
      </w:r>
      <w:commentRangeStart w:id="6"/>
      <w:r w:rsidRPr="00EB56A9">
        <w:rPr>
          <w:rFonts w:ascii="Arial" w:hAnsi="Arial" w:cs="Arial"/>
          <w:sz w:val="20"/>
        </w:rPr>
        <w:t>conditions</w:t>
      </w:r>
      <w:commentRangeEnd w:id="6"/>
      <w:r>
        <w:rPr>
          <w:rStyle w:val="CommentReference"/>
        </w:rPr>
        <w:commentReference w:id="6"/>
      </w:r>
      <w:r w:rsidRPr="00EB56A9">
        <w:rPr>
          <w:rFonts w:ascii="Arial" w:hAnsi="Arial" w:cs="Arial"/>
          <w:sz w:val="20"/>
        </w:rPr>
        <w:t>.</w:t>
      </w:r>
    </w:p>
    <w:p w14:paraId="52BC7C79" w14:textId="77777777" w:rsidR="009418F2" w:rsidRPr="00D30BC1" w:rsidRDefault="009418F2" w:rsidP="009418F2">
      <w:pPr>
        <w:pStyle w:val="BodyText"/>
        <w:jc w:val="both"/>
        <w:rPr>
          <w:b/>
          <w:bCs/>
        </w:rPr>
      </w:pPr>
    </w:p>
    <w:p w14:paraId="2400174F" w14:textId="77777777" w:rsidR="009418F2" w:rsidRPr="00D30BC1" w:rsidRDefault="009418F2" w:rsidP="009418F2">
      <w:pPr>
        <w:pStyle w:val="BodyText3"/>
        <w:jc w:val="both"/>
        <w:rPr>
          <w:i w:val="0"/>
          <w:iCs w:val="0"/>
        </w:rPr>
      </w:pPr>
      <w:r w:rsidRPr="00D30BC1">
        <w:rPr>
          <w:i w:val="0"/>
          <w:iCs w:val="0"/>
        </w:rPr>
        <w:t xml:space="preserve">Where evaluations are incomplete such that it is premature to clearly define ultimate chance of commerciality, it is acceptable to note that project economic status is </w:t>
      </w:r>
      <w:r w:rsidRPr="00D30BC1">
        <w:rPr>
          <w:rFonts w:ascii="Times New Roman" w:hAnsi="Times New Roman"/>
          <w:i w:val="0"/>
          <w:iCs w:val="0"/>
          <w:sz w:val="18"/>
        </w:rPr>
        <w:t>“</w:t>
      </w:r>
      <w:r w:rsidRPr="00D30BC1">
        <w:rPr>
          <w:i w:val="0"/>
          <w:iCs w:val="0"/>
        </w:rPr>
        <w:t>undetermined.</w:t>
      </w:r>
      <w:r w:rsidRPr="00D30BC1">
        <w:rPr>
          <w:rFonts w:ascii="Times New Roman" w:hAnsi="Times New Roman"/>
          <w:i w:val="0"/>
          <w:iCs w:val="0"/>
          <w:sz w:val="18"/>
        </w:rPr>
        <w:t>”</w:t>
      </w:r>
      <w:r w:rsidRPr="00D30BC1">
        <w:rPr>
          <w:i w:val="0"/>
          <w:iCs w:val="0"/>
        </w:rPr>
        <w:t xml:space="preserve"> Those discovered </w:t>
      </w:r>
      <w:r>
        <w:rPr>
          <w:i w:val="0"/>
          <w:iCs w:val="0"/>
        </w:rPr>
        <w:t>Total Storage Resource</w:t>
      </w:r>
      <w:r w:rsidRPr="00D30BC1">
        <w:rPr>
          <w:i w:val="0"/>
          <w:iCs w:val="0"/>
        </w:rPr>
        <w:t xml:space="preserve"> </w:t>
      </w:r>
      <w:r w:rsidR="00F10182">
        <w:rPr>
          <w:i w:val="0"/>
          <w:iCs w:val="0"/>
        </w:rPr>
        <w:t>quantities</w:t>
      </w:r>
      <w:r>
        <w:rPr>
          <w:i w:val="0"/>
          <w:iCs w:val="0"/>
        </w:rPr>
        <w:t xml:space="preserve"> </w:t>
      </w:r>
      <w:r w:rsidRPr="00D30BC1">
        <w:rPr>
          <w:i w:val="0"/>
          <w:iCs w:val="0"/>
        </w:rPr>
        <w:t xml:space="preserve">for which a feasible development project cannot be defined using current, or reasonably forecast improvements in, technology are classified as </w:t>
      </w:r>
      <w:r>
        <w:rPr>
          <w:i w:val="0"/>
          <w:iCs w:val="0"/>
        </w:rPr>
        <w:t>Unexploitable</w:t>
      </w:r>
      <w:r w:rsidRPr="00D30BC1">
        <w:rPr>
          <w:i w:val="0"/>
          <w:iCs w:val="0"/>
        </w:rPr>
        <w:t>.</w:t>
      </w:r>
    </w:p>
    <w:p w14:paraId="328AF403" w14:textId="77777777" w:rsidR="009418F2" w:rsidRPr="00D30BC1" w:rsidRDefault="009418F2" w:rsidP="009418F2">
      <w:pPr>
        <w:pStyle w:val="BodyText"/>
        <w:jc w:val="both"/>
      </w:pPr>
    </w:p>
    <w:p w14:paraId="17BFE76A" w14:textId="77777777" w:rsidR="009418F2" w:rsidRPr="00D30BC1" w:rsidRDefault="009418F2" w:rsidP="009418F2">
      <w:pPr>
        <w:pStyle w:val="BodyText"/>
        <w:jc w:val="both"/>
        <w:rPr>
          <w:i/>
          <w:iCs/>
          <w:sz w:val="18"/>
        </w:rPr>
      </w:pPr>
      <w:r w:rsidRPr="00D30BC1">
        <w:t>Economic Status may be identified independently of, or applied in combination with, Project Maturity sub-classification to more completely describe the project and its associated resources</w:t>
      </w:r>
      <w:r w:rsidRPr="00D30BC1">
        <w:rPr>
          <w:i/>
          <w:iCs/>
        </w:rPr>
        <w:t>.</w:t>
      </w:r>
    </w:p>
    <w:p w14:paraId="381D9C8F" w14:textId="77777777" w:rsidR="009418F2" w:rsidRPr="00D30BC1" w:rsidRDefault="009418F2" w:rsidP="009418F2">
      <w:pPr>
        <w:rPr>
          <w:rStyle w:val="header2green"/>
          <w:b/>
          <w:bCs/>
          <w:sz w:val="20"/>
        </w:rPr>
      </w:pPr>
    </w:p>
    <w:p w14:paraId="630BE5A0" w14:textId="77777777" w:rsidR="009418F2" w:rsidRPr="00D30BC1" w:rsidRDefault="009418F2" w:rsidP="009418F2">
      <w:pPr>
        <w:pStyle w:val="Heading2"/>
        <w:rPr>
          <w:rStyle w:val="header3burg"/>
        </w:rPr>
      </w:pPr>
      <w:r w:rsidRPr="00D30BC1">
        <w:rPr>
          <w:rStyle w:val="header2green"/>
        </w:rPr>
        <w:t>2.2   Resources Categorization</w:t>
      </w:r>
      <w:r w:rsidRPr="00D30BC1">
        <w:rPr>
          <w:rStyle w:val="header3burg"/>
        </w:rPr>
        <w:t xml:space="preserve"> </w:t>
      </w:r>
    </w:p>
    <w:p w14:paraId="5A75167F" w14:textId="77777777" w:rsidR="009418F2" w:rsidRPr="00D30BC1" w:rsidRDefault="009418F2" w:rsidP="009418F2">
      <w:pPr>
        <w:pStyle w:val="NormalWeb"/>
        <w:jc w:val="both"/>
        <w:rPr>
          <w:color w:val="auto"/>
        </w:rPr>
      </w:pPr>
      <w:r w:rsidRPr="00D30BC1">
        <w:rPr>
          <w:color w:val="auto"/>
        </w:rPr>
        <w:t xml:space="preserve">The horizontal axis in the Resources Classification (Figure 1.1) defines the range of uncertainty in estimates of the </w:t>
      </w:r>
      <w:r>
        <w:rPr>
          <w:color w:val="auto"/>
        </w:rPr>
        <w:t xml:space="preserve">storage quantities </w:t>
      </w:r>
      <w:r w:rsidRPr="00D30BC1">
        <w:rPr>
          <w:color w:val="auto"/>
        </w:rPr>
        <w:t xml:space="preserve">associated with a project. These estimates include both technical and commercial uncertainty components as follows: </w:t>
      </w:r>
    </w:p>
    <w:p w14:paraId="58ECEB24" w14:textId="77777777" w:rsidR="009418F2" w:rsidRPr="00D30BC1" w:rsidRDefault="009418F2" w:rsidP="009418F2">
      <w:pPr>
        <w:numPr>
          <w:ilvl w:val="0"/>
          <w:numId w:val="19"/>
        </w:numPr>
        <w:jc w:val="both"/>
        <w:rPr>
          <w:rFonts w:ascii="Arial" w:hAnsi="Arial" w:cs="Arial"/>
          <w:sz w:val="20"/>
        </w:rPr>
      </w:pPr>
      <w:r w:rsidRPr="00D30BC1">
        <w:rPr>
          <w:rFonts w:ascii="Arial" w:hAnsi="Arial" w:cs="Arial"/>
          <w:sz w:val="20"/>
        </w:rPr>
        <w:t xml:space="preserve">The total </w:t>
      </w:r>
      <w:r>
        <w:rPr>
          <w:rFonts w:ascii="Arial" w:hAnsi="Arial" w:cs="Arial"/>
          <w:sz w:val="20"/>
        </w:rPr>
        <w:t>stora</w:t>
      </w:r>
      <w:r w:rsidR="000C6D49">
        <w:rPr>
          <w:rFonts w:ascii="Arial" w:hAnsi="Arial" w:cs="Arial"/>
          <w:sz w:val="20"/>
        </w:rPr>
        <w:t>ble quantities remaining within</w:t>
      </w:r>
      <w:r w:rsidRPr="00D30BC1">
        <w:rPr>
          <w:rFonts w:ascii="Arial" w:hAnsi="Arial" w:cs="Arial"/>
          <w:sz w:val="20"/>
        </w:rPr>
        <w:t xml:space="preserve"> </w:t>
      </w:r>
      <w:r w:rsidR="004F47BB">
        <w:rPr>
          <w:rFonts w:ascii="Arial" w:hAnsi="Arial" w:cs="Arial"/>
          <w:sz w:val="20"/>
        </w:rPr>
        <w:t>geologic formations</w:t>
      </w:r>
      <w:r w:rsidRPr="00D30BC1">
        <w:rPr>
          <w:rFonts w:ascii="Arial" w:hAnsi="Arial" w:cs="Arial"/>
          <w:sz w:val="20"/>
        </w:rPr>
        <w:t xml:space="preserve">. </w:t>
      </w:r>
    </w:p>
    <w:p w14:paraId="1405983A" w14:textId="77777777" w:rsidR="009418F2" w:rsidRPr="004F47BB" w:rsidRDefault="009418F2" w:rsidP="004F47BB">
      <w:pPr>
        <w:numPr>
          <w:ilvl w:val="0"/>
          <w:numId w:val="19"/>
        </w:numPr>
        <w:jc w:val="both"/>
        <w:rPr>
          <w:rFonts w:ascii="Arial" w:hAnsi="Arial" w:cs="Arial"/>
          <w:sz w:val="20"/>
        </w:rPr>
      </w:pPr>
      <w:r w:rsidRPr="00D30BC1">
        <w:rPr>
          <w:rFonts w:ascii="Arial" w:hAnsi="Arial" w:cs="Arial"/>
          <w:sz w:val="20"/>
        </w:rPr>
        <w:t xml:space="preserve">That portion of the </w:t>
      </w:r>
      <w:r w:rsidR="002212ED">
        <w:rPr>
          <w:rFonts w:ascii="Arial" w:hAnsi="Arial" w:cs="Arial"/>
          <w:sz w:val="20"/>
        </w:rPr>
        <w:t xml:space="preserve">storable quantities </w:t>
      </w:r>
      <w:r w:rsidRPr="00D30BC1">
        <w:rPr>
          <w:rFonts w:ascii="Arial" w:hAnsi="Arial" w:cs="Arial"/>
          <w:sz w:val="20"/>
        </w:rPr>
        <w:t xml:space="preserve">that can </w:t>
      </w:r>
      <w:r w:rsidR="002212ED">
        <w:rPr>
          <w:rFonts w:ascii="Arial" w:hAnsi="Arial" w:cs="Arial"/>
          <w:sz w:val="20"/>
        </w:rPr>
        <w:t xml:space="preserve">be used </w:t>
      </w:r>
      <w:r w:rsidRPr="00D30BC1">
        <w:rPr>
          <w:rFonts w:ascii="Arial" w:hAnsi="Arial" w:cs="Arial"/>
          <w:sz w:val="20"/>
        </w:rPr>
        <w:t>by a defined development project or projects.</w:t>
      </w:r>
      <w:r w:rsidRPr="004F47BB">
        <w:rPr>
          <w:rFonts w:ascii="Arial" w:hAnsi="Arial" w:cs="Arial"/>
          <w:sz w:val="20"/>
        </w:rPr>
        <w:t xml:space="preserve"> </w:t>
      </w:r>
    </w:p>
    <w:p w14:paraId="35AD9BDF" w14:textId="77777777" w:rsidR="009418F2" w:rsidRPr="00D30BC1" w:rsidRDefault="009418F2" w:rsidP="009418F2">
      <w:pPr>
        <w:jc w:val="both"/>
        <w:rPr>
          <w:rFonts w:ascii="Arial" w:hAnsi="Arial" w:cs="Arial"/>
          <w:sz w:val="20"/>
        </w:rPr>
      </w:pPr>
    </w:p>
    <w:p w14:paraId="604199B2" w14:textId="16557DE8" w:rsidR="009418F2" w:rsidRPr="00C74D1C" w:rsidRDefault="009418F2" w:rsidP="009418F2">
      <w:pPr>
        <w:jc w:val="both"/>
        <w:rPr>
          <w:rFonts w:ascii="Arial" w:hAnsi="Arial" w:cs="Arial"/>
          <w:sz w:val="20"/>
        </w:rPr>
      </w:pPr>
      <w:r w:rsidRPr="000C261F">
        <w:rPr>
          <w:rFonts w:ascii="Arial" w:hAnsi="Arial" w:cs="Arial"/>
          <w:sz w:val="20"/>
        </w:rPr>
        <w:t xml:space="preserve">The uncertainty in </w:t>
      </w:r>
      <w:r w:rsidR="002212ED">
        <w:rPr>
          <w:rFonts w:ascii="Arial" w:hAnsi="Arial" w:cs="Arial"/>
          <w:sz w:val="20"/>
        </w:rPr>
        <w:t>storabl</w:t>
      </w:r>
      <w:r>
        <w:rPr>
          <w:rFonts w:ascii="Arial" w:hAnsi="Arial" w:cs="Arial"/>
          <w:sz w:val="20"/>
        </w:rPr>
        <w:t>e quantities</w:t>
      </w:r>
      <w:r w:rsidRPr="000C261F">
        <w:rPr>
          <w:rFonts w:ascii="Arial" w:hAnsi="Arial" w:cs="Arial"/>
          <w:sz w:val="20"/>
        </w:rPr>
        <w:t xml:space="preserve"> </w:t>
      </w:r>
      <w:r>
        <w:rPr>
          <w:rFonts w:ascii="Arial" w:hAnsi="Arial" w:cs="Arial"/>
          <w:sz w:val="20"/>
        </w:rPr>
        <w:t>is ass</w:t>
      </w:r>
      <w:r w:rsidRPr="009229B4">
        <w:rPr>
          <w:rFonts w:ascii="Arial" w:hAnsi="Arial" w:cs="Arial"/>
          <w:sz w:val="20"/>
        </w:rPr>
        <w:t xml:space="preserve">essed separately from project classification. The assumed commercial conditions are associated with resource classes or sub-classes and not with the resource categories. For example the </w:t>
      </w:r>
      <w:r>
        <w:rPr>
          <w:rFonts w:ascii="Arial" w:hAnsi="Arial" w:cs="Arial"/>
          <w:sz w:val="20"/>
        </w:rPr>
        <w:t xml:space="preserve">injectable </w:t>
      </w:r>
      <w:r w:rsidR="004F47BB">
        <w:rPr>
          <w:rFonts w:ascii="Arial" w:hAnsi="Arial" w:cs="Arial"/>
          <w:sz w:val="20"/>
        </w:rPr>
        <w:t>CO</w:t>
      </w:r>
      <w:r w:rsidR="004F47BB" w:rsidRPr="004F47BB">
        <w:rPr>
          <w:rFonts w:ascii="Arial" w:hAnsi="Arial" w:cs="Arial"/>
          <w:sz w:val="20"/>
          <w:vertAlign w:val="subscript"/>
        </w:rPr>
        <w:t>2</w:t>
      </w:r>
      <w:r w:rsidR="004F47BB">
        <w:rPr>
          <w:rFonts w:ascii="Arial" w:hAnsi="Arial" w:cs="Arial"/>
          <w:sz w:val="20"/>
        </w:rPr>
        <w:t xml:space="preserve"> </w:t>
      </w:r>
      <w:r w:rsidRPr="009229B4">
        <w:rPr>
          <w:rFonts w:ascii="Arial" w:hAnsi="Arial" w:cs="Arial"/>
          <w:sz w:val="20"/>
        </w:rPr>
        <w:t xml:space="preserve">price assumptions are those assumed when classifying projects as </w:t>
      </w:r>
      <w:r w:rsidR="004F47BB">
        <w:rPr>
          <w:rFonts w:ascii="Arial" w:hAnsi="Arial" w:cs="Arial"/>
          <w:sz w:val="20"/>
        </w:rPr>
        <w:t>Capacity</w:t>
      </w:r>
      <w:r>
        <w:rPr>
          <w:rFonts w:ascii="Arial" w:hAnsi="Arial" w:cs="Arial"/>
          <w:sz w:val="20"/>
        </w:rPr>
        <w:t>,</w:t>
      </w:r>
      <w:r w:rsidRPr="009229B4">
        <w:rPr>
          <w:rFonts w:ascii="Arial" w:hAnsi="Arial" w:cs="Arial"/>
          <w:sz w:val="20"/>
        </w:rPr>
        <w:t xml:space="preserve"> and there would not be a different price used for assessing Proved versus Probable </w:t>
      </w:r>
      <w:r w:rsidR="001E0235">
        <w:rPr>
          <w:rFonts w:ascii="Arial" w:hAnsi="Arial" w:cs="Arial"/>
          <w:sz w:val="20"/>
        </w:rPr>
        <w:t>Capacity</w:t>
      </w:r>
      <w:r>
        <w:rPr>
          <w:rFonts w:ascii="Arial" w:hAnsi="Arial" w:cs="Arial"/>
          <w:sz w:val="20"/>
        </w:rPr>
        <w:t xml:space="preserve"> as defined below</w:t>
      </w:r>
      <w:r w:rsidRPr="009229B4">
        <w:rPr>
          <w:rFonts w:ascii="Arial" w:hAnsi="Arial" w:cs="Arial"/>
          <w:sz w:val="20"/>
        </w:rPr>
        <w:t xml:space="preserve">. </w:t>
      </w:r>
      <w:r w:rsidRPr="009229B4">
        <w:rPr>
          <w:rFonts w:ascii="Arial" w:hAnsi="Arial" w:cs="Arial"/>
          <w:sz w:val="20"/>
          <w:szCs w:val="22"/>
        </w:rPr>
        <w:t xml:space="preserve">Use of different commercial assumptions for categorizing </w:t>
      </w:r>
      <w:r w:rsidR="002212ED">
        <w:rPr>
          <w:rFonts w:ascii="Arial" w:hAnsi="Arial" w:cs="Arial"/>
          <w:sz w:val="20"/>
          <w:szCs w:val="22"/>
        </w:rPr>
        <w:t>storabl</w:t>
      </w:r>
      <w:r w:rsidR="004F47BB">
        <w:rPr>
          <w:rFonts w:ascii="Arial" w:hAnsi="Arial" w:cs="Arial"/>
          <w:sz w:val="20"/>
          <w:szCs w:val="22"/>
        </w:rPr>
        <w:t>e quantities</w:t>
      </w:r>
      <w:r w:rsidRPr="009229B4">
        <w:rPr>
          <w:rFonts w:ascii="Arial" w:hAnsi="Arial" w:cs="Arial"/>
          <w:sz w:val="20"/>
          <w:szCs w:val="22"/>
        </w:rPr>
        <w:t xml:space="preserve"> is referred to as “split conditions</w:t>
      </w:r>
      <w:r w:rsidRPr="00C74D1C">
        <w:rPr>
          <w:rFonts w:ascii="Arial" w:hAnsi="Arial" w:cs="Arial"/>
          <w:sz w:val="20"/>
          <w:szCs w:val="22"/>
        </w:rPr>
        <w:t>”</w:t>
      </w:r>
      <w:r w:rsidRPr="009229B4">
        <w:rPr>
          <w:rFonts w:ascii="Arial" w:hAnsi="Arial" w:cs="Arial"/>
          <w:sz w:val="20"/>
          <w:szCs w:val="22"/>
        </w:rPr>
        <w:t>, which are to be avoided</w:t>
      </w:r>
      <w:r w:rsidRPr="009229B4">
        <w:rPr>
          <w:rStyle w:val="CommentReference"/>
          <w:rFonts w:ascii="Arial" w:hAnsi="Arial" w:cs="Arial"/>
          <w:sz w:val="20"/>
          <w:szCs w:val="22"/>
        </w:rPr>
        <w:annotationRef/>
      </w:r>
      <w:r w:rsidRPr="009229B4">
        <w:rPr>
          <w:rFonts w:ascii="Arial" w:hAnsi="Arial" w:cs="Arial"/>
          <w:sz w:val="20"/>
          <w:szCs w:val="22"/>
        </w:rPr>
        <w:t>.</w:t>
      </w:r>
    </w:p>
    <w:p w14:paraId="4FB219C7" w14:textId="77777777" w:rsidR="009418F2" w:rsidRPr="000C261F" w:rsidRDefault="009418F2" w:rsidP="009418F2">
      <w:pPr>
        <w:jc w:val="both"/>
        <w:rPr>
          <w:rFonts w:ascii="Arial" w:hAnsi="Arial" w:cs="Arial"/>
          <w:sz w:val="20"/>
        </w:rPr>
      </w:pPr>
      <w:r w:rsidRPr="00C74D1C">
        <w:rPr>
          <w:rFonts w:ascii="Arial" w:hAnsi="Arial" w:cs="Arial"/>
          <w:sz w:val="20"/>
        </w:rPr>
        <w:t xml:space="preserve">  </w:t>
      </w:r>
    </w:p>
    <w:p w14:paraId="7E93D882" w14:textId="77777777" w:rsidR="009418F2" w:rsidRPr="009229B4" w:rsidRDefault="009418F2" w:rsidP="009418F2">
      <w:pPr>
        <w:jc w:val="both"/>
        <w:rPr>
          <w:rFonts w:ascii="Arial" w:hAnsi="Arial" w:cs="Arial"/>
          <w:sz w:val="20"/>
        </w:rPr>
      </w:pPr>
      <w:r w:rsidRPr="000C261F">
        <w:rPr>
          <w:rFonts w:ascii="Arial" w:hAnsi="Arial" w:cs="Arial"/>
          <w:sz w:val="20"/>
        </w:rPr>
        <w:t>Moreover, a single project should</w:t>
      </w:r>
      <w:r w:rsidRPr="00C74D1C">
        <w:rPr>
          <w:rFonts w:ascii="Arial" w:hAnsi="Arial" w:cs="Arial"/>
          <w:sz w:val="20"/>
        </w:rPr>
        <w:t xml:space="preserve"> be uniquely assigned to a sub-class along with its uncertainty range.</w:t>
      </w:r>
      <w:r w:rsidRPr="000C261F">
        <w:rPr>
          <w:rFonts w:ascii="Arial" w:hAnsi="Arial" w:cs="Arial"/>
          <w:sz w:val="20"/>
        </w:rPr>
        <w:t xml:space="preserve"> For example,</w:t>
      </w:r>
      <w:r w:rsidRPr="009229B4">
        <w:rPr>
          <w:rFonts w:ascii="Arial" w:hAnsi="Arial" w:cs="Arial"/>
          <w:sz w:val="20"/>
        </w:rPr>
        <w:t xml:space="preserve"> a single project cannot have quantities categorized in both Contingent </w:t>
      </w:r>
      <w:r>
        <w:rPr>
          <w:rFonts w:ascii="Arial" w:hAnsi="Arial" w:cs="Arial"/>
          <w:sz w:val="20"/>
        </w:rPr>
        <w:t xml:space="preserve">Storage </w:t>
      </w:r>
      <w:r w:rsidRPr="009229B4">
        <w:rPr>
          <w:rFonts w:ascii="Arial" w:hAnsi="Arial" w:cs="Arial"/>
          <w:sz w:val="20"/>
        </w:rPr>
        <w:t xml:space="preserve">Resource and </w:t>
      </w:r>
      <w:r>
        <w:rPr>
          <w:rFonts w:ascii="Arial" w:hAnsi="Arial" w:cs="Arial"/>
          <w:sz w:val="20"/>
        </w:rPr>
        <w:t>Capacity</w:t>
      </w:r>
      <w:r w:rsidRPr="009229B4">
        <w:rPr>
          <w:rFonts w:ascii="Arial" w:hAnsi="Arial" w:cs="Arial"/>
          <w:sz w:val="20"/>
        </w:rPr>
        <w:t xml:space="preserve"> as 1C, 2P and 3P. This is referred to as “split </w:t>
      </w:r>
      <w:commentRangeStart w:id="7"/>
      <w:r w:rsidRPr="009229B4">
        <w:rPr>
          <w:rFonts w:ascii="Arial" w:hAnsi="Arial" w:cs="Arial"/>
          <w:sz w:val="20"/>
        </w:rPr>
        <w:t>classification</w:t>
      </w:r>
      <w:commentRangeEnd w:id="7"/>
      <w:r>
        <w:rPr>
          <w:rStyle w:val="CommentReference"/>
        </w:rPr>
        <w:commentReference w:id="7"/>
      </w:r>
      <w:r w:rsidRPr="009229B4">
        <w:rPr>
          <w:rFonts w:ascii="Arial" w:hAnsi="Arial" w:cs="Arial"/>
          <w:sz w:val="20"/>
        </w:rPr>
        <w:t xml:space="preserve">”. </w:t>
      </w:r>
    </w:p>
    <w:p w14:paraId="08E5DEAD" w14:textId="77777777" w:rsidR="009418F2" w:rsidRPr="00D30BC1" w:rsidRDefault="009418F2" w:rsidP="009418F2">
      <w:pPr>
        <w:pStyle w:val="BodyText"/>
      </w:pPr>
    </w:p>
    <w:p w14:paraId="759C589A" w14:textId="77777777" w:rsidR="009418F2" w:rsidRPr="00D30BC1" w:rsidRDefault="009418F2" w:rsidP="009418F2">
      <w:pPr>
        <w:pStyle w:val="Heading1"/>
        <w:rPr>
          <w:sz w:val="22"/>
        </w:rPr>
      </w:pPr>
      <w:r w:rsidRPr="00D30BC1">
        <w:rPr>
          <w:sz w:val="22"/>
        </w:rPr>
        <w:t xml:space="preserve"> </w:t>
      </w:r>
      <w:r w:rsidRPr="00D30BC1">
        <w:rPr>
          <w:rStyle w:val="header2green"/>
          <w:sz w:val="22"/>
        </w:rPr>
        <w:t>2.2.1</w:t>
      </w:r>
      <w:r w:rsidRPr="00D30BC1">
        <w:rPr>
          <w:rStyle w:val="header2green"/>
          <w:sz w:val="22"/>
        </w:rPr>
        <w:tab/>
        <w:t>Range of Uncertainty</w:t>
      </w:r>
    </w:p>
    <w:p w14:paraId="0A001046" w14:textId="77777777" w:rsidR="009418F2" w:rsidRPr="00D30BC1" w:rsidRDefault="009418F2" w:rsidP="009418F2">
      <w:pPr>
        <w:pStyle w:val="NormalWeb"/>
        <w:jc w:val="both"/>
        <w:rPr>
          <w:color w:val="auto"/>
        </w:rPr>
      </w:pPr>
      <w:r>
        <w:rPr>
          <w:color w:val="auto"/>
        </w:rPr>
        <w:t>When uncertainty is such that the range needs to be investigated storable</w:t>
      </w:r>
      <w:r w:rsidRPr="00D30BC1">
        <w:rPr>
          <w:color w:val="auto"/>
        </w:rPr>
        <w:t xml:space="preserve"> and/or potentially </w:t>
      </w:r>
      <w:r>
        <w:rPr>
          <w:color w:val="auto"/>
        </w:rPr>
        <w:t>storable</w:t>
      </w:r>
      <w:r w:rsidRPr="00D30BC1">
        <w:rPr>
          <w:color w:val="auto"/>
        </w:rPr>
        <w:t xml:space="preserve"> </w:t>
      </w:r>
      <w:r w:rsidR="002212ED">
        <w:rPr>
          <w:color w:val="auto"/>
        </w:rPr>
        <w:t>q</w:t>
      </w:r>
      <w:r>
        <w:rPr>
          <w:color w:val="auto"/>
        </w:rPr>
        <w:t>uantities</w:t>
      </w:r>
      <w:r w:rsidRPr="00D30BC1">
        <w:rPr>
          <w:color w:val="auto"/>
        </w:rPr>
        <w:t xml:space="preserve"> may be represented by either deterministic scenarios or by a probability distribution (</w:t>
      </w:r>
      <w:r w:rsidRPr="00ED307F">
        <w:rPr>
          <w:color w:val="auto"/>
        </w:rPr>
        <w:t xml:space="preserve">see </w:t>
      </w:r>
      <w:r w:rsidRPr="00ED307F">
        <w:t>Deterministic and Probabilistic Methods, section 4.2</w:t>
      </w:r>
      <w:r w:rsidRPr="00D30BC1">
        <w:t>)</w:t>
      </w:r>
      <w:r w:rsidRPr="00D30BC1">
        <w:rPr>
          <w:color w:val="auto"/>
        </w:rPr>
        <w:t xml:space="preserve">. </w:t>
      </w:r>
    </w:p>
    <w:p w14:paraId="3F7CF884" w14:textId="77777777" w:rsidR="009418F2" w:rsidRPr="00D30BC1" w:rsidRDefault="009418F2" w:rsidP="009418F2">
      <w:pPr>
        <w:pStyle w:val="NormalWeb"/>
        <w:jc w:val="both"/>
        <w:rPr>
          <w:color w:val="auto"/>
        </w:rPr>
      </w:pPr>
      <w:r w:rsidRPr="00D30BC1">
        <w:rPr>
          <w:color w:val="auto"/>
        </w:rPr>
        <w:t xml:space="preserve">When the range of uncertainty is represented by a probability distribution, a low, best, and high estimate shall be provided such that: </w:t>
      </w:r>
    </w:p>
    <w:p w14:paraId="3856A470" w14:textId="77777777" w:rsidR="009418F2" w:rsidRPr="00D30BC1" w:rsidRDefault="009418F2" w:rsidP="009418F2">
      <w:pPr>
        <w:numPr>
          <w:ilvl w:val="0"/>
          <w:numId w:val="3"/>
        </w:numPr>
        <w:jc w:val="both"/>
        <w:rPr>
          <w:rFonts w:ascii="Arial" w:hAnsi="Arial" w:cs="Arial"/>
          <w:sz w:val="20"/>
        </w:rPr>
      </w:pPr>
      <w:r w:rsidRPr="00D30BC1">
        <w:rPr>
          <w:rFonts w:ascii="Arial" w:hAnsi="Arial" w:cs="Arial"/>
          <w:sz w:val="20"/>
        </w:rPr>
        <w:t xml:space="preserve">There should be at least a 90% probability (P90) that the quantities actually </w:t>
      </w:r>
      <w:r>
        <w:rPr>
          <w:rFonts w:ascii="Arial" w:hAnsi="Arial" w:cs="Arial"/>
          <w:sz w:val="20"/>
        </w:rPr>
        <w:t>stored</w:t>
      </w:r>
      <w:r w:rsidRPr="00D30BC1">
        <w:rPr>
          <w:rFonts w:ascii="Arial" w:hAnsi="Arial" w:cs="Arial"/>
          <w:sz w:val="20"/>
        </w:rPr>
        <w:t xml:space="preserve"> will equal or exceed the low estimate.</w:t>
      </w:r>
    </w:p>
    <w:p w14:paraId="6EEF3746" w14:textId="77777777" w:rsidR="009418F2" w:rsidRPr="00D30BC1" w:rsidRDefault="009418F2" w:rsidP="009418F2">
      <w:pPr>
        <w:numPr>
          <w:ilvl w:val="0"/>
          <w:numId w:val="3"/>
        </w:numPr>
        <w:jc w:val="both"/>
        <w:rPr>
          <w:rFonts w:ascii="Arial" w:hAnsi="Arial" w:cs="Arial"/>
          <w:sz w:val="20"/>
        </w:rPr>
      </w:pPr>
      <w:r w:rsidRPr="00D30BC1">
        <w:rPr>
          <w:rFonts w:ascii="Arial" w:hAnsi="Arial" w:cs="Arial"/>
          <w:sz w:val="20"/>
        </w:rPr>
        <w:t xml:space="preserve">There should be at least a 50% probability (P50) that the quantities actually </w:t>
      </w:r>
      <w:r>
        <w:rPr>
          <w:rFonts w:ascii="Arial" w:hAnsi="Arial" w:cs="Arial"/>
          <w:sz w:val="20"/>
        </w:rPr>
        <w:t>stored</w:t>
      </w:r>
      <w:r w:rsidRPr="00D30BC1">
        <w:rPr>
          <w:rFonts w:ascii="Arial" w:hAnsi="Arial" w:cs="Arial"/>
          <w:sz w:val="20"/>
        </w:rPr>
        <w:t xml:space="preserve"> will equal or exceed the best estimate. </w:t>
      </w:r>
    </w:p>
    <w:p w14:paraId="6A28696B" w14:textId="77777777" w:rsidR="009418F2" w:rsidRPr="00D30BC1" w:rsidRDefault="009418F2" w:rsidP="009418F2">
      <w:pPr>
        <w:numPr>
          <w:ilvl w:val="0"/>
          <w:numId w:val="3"/>
        </w:numPr>
        <w:jc w:val="both"/>
        <w:rPr>
          <w:rFonts w:ascii="Arial" w:hAnsi="Arial" w:cs="Arial"/>
          <w:sz w:val="20"/>
        </w:rPr>
      </w:pPr>
      <w:r w:rsidRPr="00D30BC1">
        <w:rPr>
          <w:rFonts w:ascii="Arial" w:hAnsi="Arial" w:cs="Arial"/>
          <w:sz w:val="20"/>
        </w:rPr>
        <w:t xml:space="preserve">There should be at least a 10% probability (P10) that the quantities actually </w:t>
      </w:r>
      <w:r>
        <w:rPr>
          <w:rFonts w:ascii="Arial" w:hAnsi="Arial" w:cs="Arial"/>
          <w:sz w:val="20"/>
        </w:rPr>
        <w:t>stored</w:t>
      </w:r>
      <w:r w:rsidRPr="00D30BC1">
        <w:rPr>
          <w:rFonts w:ascii="Arial" w:hAnsi="Arial" w:cs="Arial"/>
          <w:sz w:val="20"/>
        </w:rPr>
        <w:t xml:space="preserve"> will equal or exceed the high estimate.   </w:t>
      </w:r>
    </w:p>
    <w:p w14:paraId="2B612AC7" w14:textId="77777777" w:rsidR="009418F2" w:rsidRPr="00D30BC1" w:rsidRDefault="009418F2" w:rsidP="009418F2">
      <w:pPr>
        <w:jc w:val="both"/>
        <w:rPr>
          <w:rFonts w:ascii="Arial" w:hAnsi="Arial" w:cs="Arial"/>
          <w:sz w:val="20"/>
        </w:rPr>
      </w:pPr>
    </w:p>
    <w:p w14:paraId="49B2E644" w14:textId="77777777" w:rsidR="009418F2" w:rsidRPr="00D30BC1" w:rsidRDefault="009418F2" w:rsidP="009418F2">
      <w:pPr>
        <w:jc w:val="both"/>
        <w:rPr>
          <w:rFonts w:ascii="Arial" w:hAnsi="Arial" w:cs="Arial"/>
          <w:sz w:val="20"/>
        </w:rPr>
      </w:pPr>
      <w:r w:rsidRPr="00D30BC1">
        <w:rPr>
          <w:rFonts w:ascii="Arial" w:hAnsi="Arial" w:cs="Arial"/>
          <w:sz w:val="20"/>
        </w:rPr>
        <w:t xml:space="preserve">When using the deterministic scenario method, low, best, and high estimates, </w:t>
      </w:r>
      <w:r>
        <w:rPr>
          <w:rFonts w:ascii="Arial" w:hAnsi="Arial" w:cs="Arial"/>
          <w:sz w:val="20"/>
        </w:rPr>
        <w:t xml:space="preserve">may be </w:t>
      </w:r>
      <w:r w:rsidRPr="00D30BC1">
        <w:rPr>
          <w:rFonts w:ascii="Arial" w:hAnsi="Arial" w:cs="Arial"/>
          <w:sz w:val="20"/>
        </w:rPr>
        <w:t xml:space="preserve">based on qualitative assessments of relative uncertainty using consistent interpretation guidelines. Under the deterministic incremental approach, </w:t>
      </w:r>
      <w:r>
        <w:rPr>
          <w:rFonts w:ascii="Arial" w:hAnsi="Arial" w:cs="Arial"/>
          <w:sz w:val="20"/>
        </w:rPr>
        <w:t>quantities</w:t>
      </w:r>
      <w:r w:rsidRPr="00D30BC1">
        <w:rPr>
          <w:rFonts w:ascii="Arial" w:hAnsi="Arial" w:cs="Arial"/>
          <w:sz w:val="20"/>
        </w:rPr>
        <w:t xml:space="preserve"> </w:t>
      </w:r>
      <w:r>
        <w:rPr>
          <w:rFonts w:ascii="Arial" w:hAnsi="Arial" w:cs="Arial"/>
          <w:sz w:val="20"/>
        </w:rPr>
        <w:t xml:space="preserve">for each confidence segment </w:t>
      </w:r>
      <w:r w:rsidRPr="00D30BC1">
        <w:rPr>
          <w:rFonts w:ascii="Arial" w:hAnsi="Arial" w:cs="Arial"/>
          <w:sz w:val="20"/>
        </w:rPr>
        <w:t>are estimated discretely and separately (</w:t>
      </w:r>
      <w:r w:rsidRPr="00ED307F">
        <w:rPr>
          <w:rFonts w:ascii="Arial" w:hAnsi="Arial" w:cs="Arial"/>
          <w:sz w:val="20"/>
        </w:rPr>
        <w:t>see Category Definitions and Guidelines, section 2.2.2</w:t>
      </w:r>
      <w:r w:rsidRPr="00D30BC1">
        <w:rPr>
          <w:rFonts w:ascii="Arial" w:hAnsi="Arial" w:cs="Arial"/>
          <w:sz w:val="20"/>
        </w:rPr>
        <w:t xml:space="preserve">). </w:t>
      </w:r>
    </w:p>
    <w:p w14:paraId="6F388D9A" w14:textId="77777777" w:rsidR="009418F2" w:rsidRDefault="009418F2" w:rsidP="009418F2">
      <w:pPr>
        <w:pStyle w:val="BodyText"/>
        <w:jc w:val="both"/>
      </w:pPr>
    </w:p>
    <w:p w14:paraId="679D310C" w14:textId="4A4CA585" w:rsidR="009418F2" w:rsidRDefault="009418F2" w:rsidP="009418F2">
      <w:pPr>
        <w:pStyle w:val="BodyText"/>
        <w:jc w:val="both"/>
      </w:pPr>
      <w:r w:rsidRPr="000C261F">
        <w:t>Resources are initially estimated u</w:t>
      </w:r>
      <w:r w:rsidR="002212ED">
        <w:t>s</w:t>
      </w:r>
      <w:r w:rsidRPr="000C261F">
        <w:t>ing the above uncertainty range forecasts by applying technical constraints related to wells and facilities. These technical forecasts then have the additional criteria applied (i.e. economics, license cutoffs</w:t>
      </w:r>
      <w:r w:rsidRPr="009229B4">
        <w:t xml:space="preserve"> are the most common) to determine the entitle</w:t>
      </w:r>
      <w:r w:rsidR="002212ED">
        <w:t>d storabl</w:t>
      </w:r>
      <w:r>
        <w:t xml:space="preserve">e </w:t>
      </w:r>
      <w:r w:rsidR="002212ED">
        <w:t>quanti</w:t>
      </w:r>
      <w:r>
        <w:t>ti</w:t>
      </w:r>
      <w:r w:rsidRPr="009229B4">
        <w:t xml:space="preserve">es attributed to resource classes: </w:t>
      </w:r>
      <w:r w:rsidR="001E0235">
        <w:t>Capacity</w:t>
      </w:r>
      <w:r w:rsidRPr="009229B4">
        <w:t>, Contingent Resources, and Prospective Resources.</w:t>
      </w:r>
    </w:p>
    <w:p w14:paraId="146F8CFA" w14:textId="77777777" w:rsidR="009418F2" w:rsidRPr="00D30BC1" w:rsidRDefault="009418F2" w:rsidP="009418F2">
      <w:pPr>
        <w:pStyle w:val="BodyText"/>
        <w:jc w:val="both"/>
      </w:pPr>
    </w:p>
    <w:p w14:paraId="168010B7" w14:textId="77777777" w:rsidR="009418F2" w:rsidRPr="00D30BC1" w:rsidRDefault="009418F2" w:rsidP="009418F2">
      <w:pPr>
        <w:pStyle w:val="BodyText"/>
        <w:jc w:val="both"/>
      </w:pPr>
      <w:r w:rsidRPr="00D30BC1">
        <w:t xml:space="preserve">While there may be significant </w:t>
      </w:r>
      <w:r>
        <w:t>likelihood</w:t>
      </w:r>
      <w:r w:rsidRPr="00D30BC1">
        <w:t xml:space="preserve"> that sub-commercial and undiscovered </w:t>
      </w:r>
      <w:r w:rsidRPr="00F2132A">
        <w:t>porous and permeable geologic formation</w:t>
      </w:r>
      <w:r>
        <w:t>s</w:t>
      </w:r>
      <w:r w:rsidRPr="00D30BC1">
        <w:t xml:space="preserve"> will not achieve commercial </w:t>
      </w:r>
      <w:r>
        <w:t>injection</w:t>
      </w:r>
      <w:r w:rsidRPr="00D30BC1">
        <w:t xml:space="preserve">, it useful to consider the range of potentially </w:t>
      </w:r>
      <w:r>
        <w:t>storable</w:t>
      </w:r>
      <w:r w:rsidRPr="00D30BC1">
        <w:t xml:space="preserve"> quantities independently of such a </w:t>
      </w:r>
      <w:r>
        <w:t>likelihood</w:t>
      </w:r>
      <w:r w:rsidRPr="00D30BC1">
        <w:t xml:space="preserve"> or consideration of the resource class to which the quantities will be assigned. </w:t>
      </w:r>
    </w:p>
    <w:p w14:paraId="4A0DF14E" w14:textId="77777777" w:rsidR="009418F2" w:rsidRPr="00D30BC1" w:rsidRDefault="009418F2" w:rsidP="009418F2">
      <w:pPr>
        <w:rPr>
          <w:rStyle w:val="header2green"/>
          <w:b/>
          <w:bCs/>
          <w:sz w:val="20"/>
        </w:rPr>
      </w:pPr>
    </w:p>
    <w:p w14:paraId="13EF195A" w14:textId="77777777" w:rsidR="009418F2" w:rsidRPr="00D30BC1" w:rsidRDefault="009418F2" w:rsidP="009418F2">
      <w:pPr>
        <w:pStyle w:val="Heading1"/>
        <w:rPr>
          <w:rStyle w:val="header2green"/>
          <w:sz w:val="22"/>
        </w:rPr>
      </w:pPr>
      <w:r w:rsidRPr="00D30BC1">
        <w:rPr>
          <w:rStyle w:val="header2green"/>
          <w:sz w:val="22"/>
        </w:rPr>
        <w:t>2.2.2</w:t>
      </w:r>
      <w:r w:rsidRPr="00D30BC1">
        <w:rPr>
          <w:rStyle w:val="header2green"/>
          <w:sz w:val="22"/>
        </w:rPr>
        <w:tab/>
        <w:t xml:space="preserve">Category Definitions and Guidelines </w:t>
      </w:r>
    </w:p>
    <w:p w14:paraId="56AC4745" w14:textId="77777777" w:rsidR="009418F2" w:rsidRPr="00D30BC1" w:rsidRDefault="009418F2" w:rsidP="009418F2">
      <w:pPr>
        <w:rPr>
          <w:rFonts w:ascii="Arial" w:hAnsi="Arial" w:cs="Arial"/>
          <w:sz w:val="20"/>
        </w:rPr>
      </w:pPr>
    </w:p>
    <w:p w14:paraId="2A36F709" w14:textId="77777777" w:rsidR="009418F2" w:rsidRPr="00D30BC1" w:rsidRDefault="009418F2" w:rsidP="009418F2">
      <w:pPr>
        <w:pStyle w:val="BodyText"/>
        <w:jc w:val="both"/>
      </w:pPr>
      <w:r w:rsidRPr="00D30BC1">
        <w:t xml:space="preserve">Evaluators may assess </w:t>
      </w:r>
      <w:r>
        <w:t>storable</w:t>
      </w:r>
      <w:r w:rsidRPr="00D30BC1">
        <w:t xml:space="preserve"> </w:t>
      </w:r>
      <w:r>
        <w:t>quantities</w:t>
      </w:r>
      <w:r w:rsidRPr="00D30BC1">
        <w:t xml:space="preserve"> and categorize results by uncertainty using the deterministic incremental approach, the deterministic scenario (cumulative) approach, or probabilistic methods. (</w:t>
      </w:r>
      <w:r w:rsidRPr="00F2132A">
        <w:rPr>
          <w:highlight w:val="red"/>
        </w:rPr>
        <w:t xml:space="preserve">See </w:t>
      </w:r>
      <w:r w:rsidRPr="00F2132A">
        <w:rPr>
          <w:rFonts w:ascii="Times New Roman" w:hAnsi="Times New Roman"/>
          <w:sz w:val="18"/>
          <w:highlight w:val="red"/>
        </w:rPr>
        <w:t>“</w:t>
      </w:r>
      <w:r w:rsidRPr="00F2132A">
        <w:rPr>
          <w:highlight w:val="red"/>
        </w:rPr>
        <w:t>5</w:t>
      </w:r>
      <w:r>
        <w:t>Resource Assessment Methods, Section XXX)</w:t>
      </w:r>
      <w:r w:rsidRPr="00D30BC1">
        <w:t>).  In many cases, a combination of approaches is used.</w:t>
      </w:r>
    </w:p>
    <w:p w14:paraId="19AFED5D" w14:textId="77777777" w:rsidR="009418F2" w:rsidRPr="00D30BC1" w:rsidRDefault="009418F2" w:rsidP="009418F2">
      <w:pPr>
        <w:pStyle w:val="BodyText"/>
        <w:jc w:val="both"/>
      </w:pPr>
    </w:p>
    <w:p w14:paraId="0D31BB24" w14:textId="77777777" w:rsidR="009418F2" w:rsidRPr="004F47BB" w:rsidRDefault="009418F2" w:rsidP="009418F2">
      <w:pPr>
        <w:jc w:val="both"/>
        <w:rPr>
          <w:rFonts w:ascii="Arial" w:hAnsi="Arial" w:cs="Arial"/>
          <w:sz w:val="20"/>
          <w:szCs w:val="20"/>
        </w:rPr>
      </w:pPr>
      <w:r w:rsidRPr="00D30BC1">
        <w:rPr>
          <w:rFonts w:ascii="Arial" w:hAnsi="Arial" w:cs="Arial"/>
          <w:sz w:val="20"/>
          <w:szCs w:val="20"/>
        </w:rPr>
        <w:t xml:space="preserve">Use of consistent terminology (Figure 1.1) promotes clarity in communication of evaluation results. For </w:t>
      </w:r>
      <w:r>
        <w:rPr>
          <w:rFonts w:ascii="Arial" w:hAnsi="Arial" w:cs="Arial"/>
          <w:sz w:val="20"/>
          <w:szCs w:val="20"/>
        </w:rPr>
        <w:t>Capacity</w:t>
      </w:r>
      <w:r w:rsidRPr="00D30BC1">
        <w:rPr>
          <w:rFonts w:ascii="Arial" w:hAnsi="Arial" w:cs="Arial"/>
          <w:sz w:val="20"/>
          <w:szCs w:val="20"/>
        </w:rPr>
        <w:t xml:space="preserve">, the general cumulative terms low/best/high estimates are denoted as 1P/2P/3P, </w:t>
      </w:r>
      <w:r w:rsidRPr="004F47BB">
        <w:rPr>
          <w:rFonts w:ascii="Arial" w:hAnsi="Arial" w:cs="Arial"/>
          <w:sz w:val="20"/>
          <w:szCs w:val="20"/>
        </w:rPr>
        <w:t xml:space="preserve">respectively. The associated incremental quantities are termed Proved (P1), Probable (P2) and Possible (P3). Capacity is a subset of, and must be viewed within context of, the complete resources classification system. While the categorization criteria are proposed specifically for Capacity, in most cases, they can be equally applied to Contingent and Prospective Storage Resources conditional upon their satisfying the criteria for discovery and/or development. </w:t>
      </w:r>
    </w:p>
    <w:p w14:paraId="47E509F4" w14:textId="77777777" w:rsidR="009418F2" w:rsidRPr="004F47BB" w:rsidRDefault="009418F2" w:rsidP="009418F2">
      <w:pPr>
        <w:jc w:val="both"/>
        <w:rPr>
          <w:rFonts w:ascii="Arial" w:hAnsi="Arial" w:cs="Arial"/>
          <w:sz w:val="20"/>
          <w:szCs w:val="20"/>
        </w:rPr>
      </w:pPr>
    </w:p>
    <w:p w14:paraId="38BBA01F" w14:textId="77777777" w:rsidR="009418F2" w:rsidRPr="004F47BB" w:rsidRDefault="009418F2" w:rsidP="009418F2">
      <w:pPr>
        <w:jc w:val="both"/>
        <w:rPr>
          <w:rFonts w:ascii="Arial" w:hAnsi="Arial" w:cs="Arial"/>
          <w:sz w:val="20"/>
        </w:rPr>
      </w:pPr>
      <w:r w:rsidRPr="004F47BB">
        <w:rPr>
          <w:rFonts w:ascii="Arial" w:hAnsi="Arial" w:cs="Arial"/>
          <w:sz w:val="20"/>
        </w:rPr>
        <w:t xml:space="preserve">For Contingent Storage Resources, the general cumulative terms low/best/high estimates are used to determine the resulting 1C/2C/3C respectively. The terms C1, C2 and C3 are defined for incremental quantities of Contingent </w:t>
      </w:r>
      <w:commentRangeStart w:id="8"/>
      <w:r w:rsidRPr="004F47BB">
        <w:rPr>
          <w:rFonts w:ascii="Arial" w:hAnsi="Arial" w:cs="Arial"/>
          <w:sz w:val="20"/>
        </w:rPr>
        <w:t>Resources</w:t>
      </w:r>
      <w:commentRangeEnd w:id="8"/>
      <w:r w:rsidRPr="004F47BB">
        <w:rPr>
          <w:rStyle w:val="CommentReference"/>
        </w:rPr>
        <w:commentReference w:id="8"/>
      </w:r>
      <w:r w:rsidRPr="004F47BB">
        <w:rPr>
          <w:rFonts w:ascii="Arial" w:hAnsi="Arial" w:cs="Arial"/>
          <w:sz w:val="20"/>
        </w:rPr>
        <w:t>.</w:t>
      </w:r>
    </w:p>
    <w:p w14:paraId="10FA8DDF" w14:textId="77777777" w:rsidR="009418F2" w:rsidRPr="004F47BB" w:rsidRDefault="009418F2" w:rsidP="009418F2">
      <w:pPr>
        <w:jc w:val="both"/>
        <w:rPr>
          <w:rFonts w:ascii="Arial" w:hAnsi="Arial" w:cs="Arial"/>
          <w:sz w:val="20"/>
        </w:rPr>
      </w:pPr>
    </w:p>
    <w:p w14:paraId="772157DC" w14:textId="77777777" w:rsidR="009418F2" w:rsidRPr="004F47BB" w:rsidRDefault="009418F2" w:rsidP="009418F2">
      <w:pPr>
        <w:jc w:val="both"/>
        <w:rPr>
          <w:rFonts w:ascii="Arial" w:hAnsi="Arial" w:cs="Arial"/>
          <w:sz w:val="20"/>
        </w:rPr>
      </w:pPr>
      <w:r w:rsidRPr="004F47BB">
        <w:rPr>
          <w:rFonts w:ascii="Arial" w:hAnsi="Arial" w:cs="Arial"/>
          <w:sz w:val="20"/>
        </w:rPr>
        <w:t>For Prospective Storage Resources, the general cumulative terms low/best/high estimates also apply and are used to determine the resulting 1U/2U/</w:t>
      </w:r>
      <w:commentRangeStart w:id="9"/>
      <w:r w:rsidRPr="004F47BB">
        <w:rPr>
          <w:rFonts w:ascii="Arial" w:hAnsi="Arial" w:cs="Arial"/>
          <w:sz w:val="20"/>
        </w:rPr>
        <w:t>3U</w:t>
      </w:r>
      <w:commentRangeEnd w:id="9"/>
      <w:r w:rsidRPr="004F47BB">
        <w:rPr>
          <w:rStyle w:val="CommentReference"/>
        </w:rPr>
        <w:commentReference w:id="9"/>
      </w:r>
      <w:r w:rsidRPr="004F47BB">
        <w:rPr>
          <w:rFonts w:ascii="Arial" w:hAnsi="Arial" w:cs="Arial"/>
          <w:sz w:val="20"/>
        </w:rPr>
        <w:t xml:space="preserve"> still apply. No specific terms are defined for incremental quantities within Prospective Storage Resources.</w:t>
      </w:r>
    </w:p>
    <w:p w14:paraId="5534876F" w14:textId="77777777" w:rsidR="009418F2" w:rsidRPr="004F47BB" w:rsidRDefault="009418F2" w:rsidP="009418F2">
      <w:pPr>
        <w:jc w:val="both"/>
        <w:rPr>
          <w:rFonts w:ascii="Arial" w:hAnsi="Arial" w:cs="Arial"/>
          <w:sz w:val="20"/>
        </w:rPr>
      </w:pPr>
    </w:p>
    <w:p w14:paraId="5B3C988C" w14:textId="77777777" w:rsidR="009418F2" w:rsidRPr="004F47BB" w:rsidRDefault="009418F2" w:rsidP="009418F2">
      <w:pPr>
        <w:jc w:val="both"/>
        <w:rPr>
          <w:rFonts w:ascii="Arial" w:hAnsi="Arial" w:cs="Arial"/>
          <w:sz w:val="20"/>
          <w:szCs w:val="36"/>
        </w:rPr>
      </w:pPr>
      <w:r w:rsidRPr="004F47BB">
        <w:rPr>
          <w:rFonts w:ascii="Arial" w:hAnsi="Arial" w:cs="Arial"/>
          <w:sz w:val="20"/>
          <w:szCs w:val="36"/>
        </w:rPr>
        <w:t>Quantities between classes and sub-classes should not be aggregated without considering the varying degrees of technical uncertainty and commercial likelihood involved with their classification(</w:t>
      </w:r>
      <w:commentRangeStart w:id="10"/>
      <w:r w:rsidRPr="004F47BB">
        <w:rPr>
          <w:rFonts w:ascii="Arial" w:hAnsi="Arial" w:cs="Arial"/>
          <w:sz w:val="20"/>
          <w:szCs w:val="36"/>
        </w:rPr>
        <w:t>s</w:t>
      </w:r>
      <w:commentRangeEnd w:id="10"/>
      <w:r w:rsidRPr="004F47BB">
        <w:rPr>
          <w:rStyle w:val="CommentReference"/>
        </w:rPr>
        <w:commentReference w:id="10"/>
      </w:r>
      <w:r w:rsidRPr="004F47BB">
        <w:rPr>
          <w:rFonts w:ascii="Arial" w:hAnsi="Arial" w:cs="Arial"/>
          <w:sz w:val="20"/>
          <w:szCs w:val="36"/>
        </w:rPr>
        <w:t>).</w:t>
      </w:r>
    </w:p>
    <w:p w14:paraId="3EB509ED" w14:textId="77777777" w:rsidR="009418F2" w:rsidRPr="004F47BB" w:rsidRDefault="009418F2" w:rsidP="009418F2">
      <w:pPr>
        <w:jc w:val="both"/>
        <w:rPr>
          <w:rFonts w:ascii="Arial" w:hAnsi="Arial" w:cs="Arial"/>
          <w:sz w:val="20"/>
        </w:rPr>
      </w:pPr>
    </w:p>
    <w:p w14:paraId="424AA57C" w14:textId="77777777" w:rsidR="009418F2" w:rsidRPr="00D30BC1" w:rsidRDefault="009418F2" w:rsidP="009418F2">
      <w:pPr>
        <w:jc w:val="both"/>
        <w:rPr>
          <w:rFonts w:ascii="Arial" w:hAnsi="Arial" w:cs="Arial"/>
          <w:sz w:val="20"/>
        </w:rPr>
      </w:pPr>
      <w:r w:rsidRPr="004F47BB">
        <w:rPr>
          <w:rFonts w:ascii="Arial" w:hAnsi="Arial" w:cs="Arial"/>
          <w:sz w:val="20"/>
        </w:rPr>
        <w:t>Without new technical information, there should be no change in the distribution of technically storable quantities and their categorization boundaries when conditions are satisfied sufficiently to reclassify a project from Contingent Storage Resources to Capacity. All evaluations require application of a consistent set of forecast conditions, including assumed future costs and prices, for both classification of projects and categorization of estimated quantities stored by each project</w:t>
      </w:r>
      <w:r w:rsidRPr="00D30BC1">
        <w:rPr>
          <w:rFonts w:ascii="Arial" w:hAnsi="Arial" w:cs="Arial"/>
          <w:sz w:val="20"/>
        </w:rPr>
        <w:t xml:space="preserve"> </w:t>
      </w:r>
      <w:r w:rsidRPr="00ED307F">
        <w:rPr>
          <w:rFonts w:ascii="Arial" w:hAnsi="Arial" w:cs="Arial"/>
          <w:sz w:val="20"/>
        </w:rPr>
        <w:t>(see Commercial Evaluations, section 3.1).</w:t>
      </w:r>
      <w:r w:rsidRPr="00D30BC1">
        <w:rPr>
          <w:rFonts w:ascii="Arial" w:hAnsi="Arial" w:cs="Arial"/>
          <w:sz w:val="20"/>
        </w:rPr>
        <w:t xml:space="preserve"> </w:t>
      </w:r>
    </w:p>
    <w:p w14:paraId="44BB5E76" w14:textId="77777777" w:rsidR="009418F2" w:rsidRPr="00D30BC1" w:rsidRDefault="009418F2" w:rsidP="009418F2">
      <w:pPr>
        <w:jc w:val="both"/>
        <w:rPr>
          <w:rFonts w:ascii="Arial" w:hAnsi="Arial" w:cs="Arial"/>
          <w:sz w:val="20"/>
        </w:rPr>
      </w:pPr>
    </w:p>
    <w:p w14:paraId="6323BB98" w14:textId="77777777" w:rsidR="009418F2" w:rsidRPr="00D30BC1" w:rsidRDefault="009418F2" w:rsidP="009418F2">
      <w:pPr>
        <w:pStyle w:val="BodyText3"/>
        <w:jc w:val="both"/>
        <w:rPr>
          <w:i w:val="0"/>
          <w:iCs w:val="0"/>
        </w:rPr>
      </w:pPr>
      <w:r w:rsidRPr="00D30BC1">
        <w:rPr>
          <w:i w:val="0"/>
          <w:iCs w:val="0"/>
        </w:rPr>
        <w:t xml:space="preserve">Table </w:t>
      </w:r>
      <w:r w:rsidR="00ED307F">
        <w:rPr>
          <w:i w:val="0"/>
          <w:iCs w:val="0"/>
        </w:rPr>
        <w:t>3</w:t>
      </w:r>
      <w:r w:rsidRPr="00D30BC1">
        <w:rPr>
          <w:i w:val="0"/>
          <w:iCs w:val="0"/>
        </w:rPr>
        <w:t xml:space="preserve"> presents category definitions and provides guidelines designed to promote consistency in resource assessments. The following summarizes the definitions for each </w:t>
      </w:r>
      <w:r>
        <w:rPr>
          <w:i w:val="0"/>
          <w:iCs w:val="0"/>
        </w:rPr>
        <w:t>Capacity</w:t>
      </w:r>
      <w:r w:rsidRPr="00D30BC1">
        <w:rPr>
          <w:i w:val="0"/>
          <w:iCs w:val="0"/>
        </w:rPr>
        <w:t xml:space="preserve"> category in terms of both the deterministic incremental approach and scenario approach and also provides the probability criteria if probabilistic methods are applied.</w:t>
      </w:r>
      <w:r>
        <w:rPr>
          <w:i w:val="0"/>
          <w:iCs w:val="0"/>
        </w:rPr>
        <w:t xml:space="preserve"> </w:t>
      </w:r>
      <w:r w:rsidRPr="009229B4">
        <w:rPr>
          <w:i w:val="0"/>
          <w:iCs w:val="0"/>
        </w:rPr>
        <w:t>For all methods (incremental, scenario, or probabilistic), a Low, Best and High Estimate technical forecast may be prepared and then tested against the following criteria for assignment to appropriate PRMS categories.</w:t>
      </w:r>
    </w:p>
    <w:p w14:paraId="6CE0912E" w14:textId="77777777" w:rsidR="009418F2" w:rsidRPr="00D30BC1" w:rsidRDefault="009418F2" w:rsidP="009418F2">
      <w:pPr>
        <w:jc w:val="both"/>
        <w:rPr>
          <w:rFonts w:ascii="Arial" w:hAnsi="Arial" w:cs="Arial"/>
          <w:sz w:val="20"/>
        </w:rPr>
      </w:pPr>
    </w:p>
    <w:p w14:paraId="7E2E7F2D" w14:textId="17D3E969" w:rsidR="009418F2" w:rsidRPr="0087741E" w:rsidRDefault="009418F2" w:rsidP="009418F2">
      <w:pPr>
        <w:pStyle w:val="BodyText"/>
        <w:numPr>
          <w:ilvl w:val="0"/>
          <w:numId w:val="45"/>
        </w:numPr>
        <w:tabs>
          <w:tab w:val="left" w:pos="8460"/>
        </w:tabs>
        <w:jc w:val="both"/>
      </w:pPr>
      <w:r w:rsidRPr="0087741E">
        <w:t>Proved Capac</w:t>
      </w:r>
      <w:r w:rsidR="003A6D81">
        <w:t xml:space="preserve">ity is those storable </w:t>
      </w:r>
      <w:r w:rsidRPr="0087741E">
        <w:t xml:space="preserve">quantities, which, by analysis of geoscience and engineering data, can be estimated with reasonable certainty to be commercially storable, from a given date forward, from known geologic formations and under defined economic conditions, operating methods, and government regulations. If deterministic methods are used, the term reasonable certainty is intended to express a high degree of confidence that the quantities will be stored. If probabilistic methods are used, there should be at least a 90% probability that the quantities actually </w:t>
      </w:r>
      <w:r w:rsidR="001E0235">
        <w:t>store</w:t>
      </w:r>
      <w:r w:rsidRPr="0087741E">
        <w:t>d will equal or exceed the estimate.</w:t>
      </w:r>
    </w:p>
    <w:p w14:paraId="58D1F016" w14:textId="77777777" w:rsidR="009418F2" w:rsidRPr="0087741E" w:rsidRDefault="009418F2" w:rsidP="009418F2">
      <w:pPr>
        <w:jc w:val="both"/>
        <w:rPr>
          <w:rFonts w:ascii="Arial" w:hAnsi="Arial" w:cs="Arial"/>
          <w:sz w:val="20"/>
        </w:rPr>
      </w:pPr>
    </w:p>
    <w:p w14:paraId="08F456E2" w14:textId="77777777" w:rsidR="009418F2" w:rsidRPr="0087741E" w:rsidRDefault="009418F2" w:rsidP="009418F2">
      <w:pPr>
        <w:numPr>
          <w:ilvl w:val="0"/>
          <w:numId w:val="25"/>
        </w:numPr>
        <w:tabs>
          <w:tab w:val="clear" w:pos="720"/>
          <w:tab w:val="num" w:pos="360"/>
        </w:tabs>
        <w:ind w:left="360"/>
        <w:jc w:val="both"/>
        <w:rPr>
          <w:rFonts w:ascii="Arial" w:hAnsi="Arial" w:cs="Arial"/>
          <w:sz w:val="20"/>
          <w:szCs w:val="20"/>
        </w:rPr>
      </w:pPr>
      <w:r w:rsidRPr="0087741E">
        <w:rPr>
          <w:rFonts w:ascii="Arial" w:hAnsi="Arial" w:cs="Arial"/>
          <w:sz w:val="20"/>
          <w:szCs w:val="20"/>
        </w:rPr>
        <w:t xml:space="preserve">Probable Capacity is those additional </w:t>
      </w:r>
      <w:r w:rsidR="003A6D81">
        <w:rPr>
          <w:rFonts w:ascii="Arial" w:hAnsi="Arial" w:cs="Arial"/>
          <w:sz w:val="20"/>
          <w:szCs w:val="20"/>
        </w:rPr>
        <w:t xml:space="preserve">storable </w:t>
      </w:r>
      <w:r w:rsidRPr="0087741E">
        <w:rPr>
          <w:rFonts w:ascii="Arial" w:hAnsi="Arial" w:cs="Arial"/>
          <w:sz w:val="20"/>
        </w:rPr>
        <w:t>quantities</w:t>
      </w:r>
      <w:r w:rsidRPr="0087741E">
        <w:rPr>
          <w:rFonts w:ascii="Arial" w:hAnsi="Arial" w:cs="Arial"/>
          <w:sz w:val="20"/>
          <w:szCs w:val="20"/>
        </w:rPr>
        <w:t xml:space="preserve"> which analysis of geoscience and engineering data indicate are less likely to be stored than Proved Capacity but more certain to be stored than Possible Capacity. It is equally likely that actual remaining quantities stored will be greater than or less than the sum of the estimated Proved plus Probable Capacity (2P). In this context, when probabilistic methods are used, there should be at least a 50% probability that the actual </w:t>
      </w:r>
      <w:r w:rsidR="00ED307F">
        <w:rPr>
          <w:rFonts w:ascii="Arial" w:hAnsi="Arial" w:cs="Arial"/>
          <w:sz w:val="20"/>
          <w:szCs w:val="20"/>
        </w:rPr>
        <w:t xml:space="preserve">stored </w:t>
      </w:r>
      <w:r w:rsidRPr="0087741E">
        <w:rPr>
          <w:rFonts w:ascii="Arial" w:hAnsi="Arial" w:cs="Arial"/>
          <w:sz w:val="20"/>
          <w:szCs w:val="20"/>
        </w:rPr>
        <w:t>quantities will equal or exceed the 2P estimate.</w:t>
      </w:r>
    </w:p>
    <w:p w14:paraId="20B5DC3E" w14:textId="77777777" w:rsidR="009418F2" w:rsidRPr="0087741E" w:rsidRDefault="009418F2" w:rsidP="009418F2">
      <w:pPr>
        <w:jc w:val="both"/>
        <w:rPr>
          <w:rFonts w:ascii="Arial" w:hAnsi="Arial" w:cs="Arial"/>
          <w:sz w:val="20"/>
        </w:rPr>
      </w:pPr>
    </w:p>
    <w:p w14:paraId="7BCEFC94" w14:textId="2A5469AF" w:rsidR="009418F2" w:rsidRPr="0087741E" w:rsidRDefault="009418F2" w:rsidP="009418F2">
      <w:pPr>
        <w:numPr>
          <w:ilvl w:val="0"/>
          <w:numId w:val="25"/>
        </w:numPr>
        <w:tabs>
          <w:tab w:val="clear" w:pos="720"/>
          <w:tab w:val="num" w:pos="360"/>
        </w:tabs>
        <w:ind w:left="360"/>
        <w:jc w:val="both"/>
        <w:rPr>
          <w:rFonts w:ascii="Arial" w:hAnsi="Arial" w:cs="Arial"/>
          <w:sz w:val="20"/>
        </w:rPr>
      </w:pPr>
      <w:r w:rsidRPr="0087741E">
        <w:rPr>
          <w:rFonts w:ascii="Arial" w:hAnsi="Arial" w:cs="Arial"/>
          <w:sz w:val="20"/>
        </w:rPr>
        <w:t>Possible Capacity is those additional stora</w:t>
      </w:r>
      <w:r w:rsidR="003A6D81">
        <w:rPr>
          <w:rFonts w:ascii="Arial" w:hAnsi="Arial" w:cs="Arial"/>
          <w:sz w:val="20"/>
        </w:rPr>
        <w:t>bl</w:t>
      </w:r>
      <w:r w:rsidRPr="0087741E">
        <w:rPr>
          <w:rFonts w:ascii="Arial" w:hAnsi="Arial" w:cs="Arial"/>
          <w:sz w:val="20"/>
        </w:rPr>
        <w:t xml:space="preserve">e quantities which analysis of geoscience and engineering data suggest are less likely to be storable than Probable </w:t>
      </w:r>
      <w:r w:rsidR="001E0235">
        <w:rPr>
          <w:rFonts w:ascii="Arial" w:hAnsi="Arial" w:cs="Arial"/>
          <w:sz w:val="20"/>
        </w:rPr>
        <w:t>Capacity</w:t>
      </w:r>
      <w:r w:rsidRPr="0087741E">
        <w:rPr>
          <w:rFonts w:ascii="Arial" w:hAnsi="Arial" w:cs="Arial"/>
          <w:sz w:val="20"/>
        </w:rPr>
        <w:t xml:space="preserve">. The total ultimately stored </w:t>
      </w:r>
      <w:r w:rsidR="00ED307F">
        <w:rPr>
          <w:rFonts w:ascii="Arial" w:hAnsi="Arial" w:cs="Arial"/>
          <w:sz w:val="20"/>
        </w:rPr>
        <w:t xml:space="preserve">quantities </w:t>
      </w:r>
      <w:r w:rsidRPr="0087741E">
        <w:rPr>
          <w:rFonts w:ascii="Arial" w:hAnsi="Arial" w:cs="Arial"/>
          <w:sz w:val="20"/>
        </w:rPr>
        <w:t>from the project have a low probability to exceed the sum of Proved plus Probable plus Possible (3P) Capacity, which is equivalent to the high estimate scenario. In this context, when probabilistic methods are used, there should be at least a 10% probability that the actual quantities stored will equal or exceed the 3P estimate.</w:t>
      </w:r>
    </w:p>
    <w:p w14:paraId="4EBCB399" w14:textId="77777777" w:rsidR="009418F2" w:rsidRPr="0087741E" w:rsidRDefault="009418F2" w:rsidP="009418F2">
      <w:pPr>
        <w:pStyle w:val="BodyText3"/>
        <w:jc w:val="both"/>
        <w:rPr>
          <w:i w:val="0"/>
          <w:iCs w:val="0"/>
        </w:rPr>
      </w:pPr>
    </w:p>
    <w:p w14:paraId="3842DBE9" w14:textId="77777777" w:rsidR="009418F2" w:rsidRPr="0087741E" w:rsidRDefault="009418F2" w:rsidP="009418F2">
      <w:pPr>
        <w:jc w:val="both"/>
        <w:rPr>
          <w:rFonts w:ascii="Arial" w:hAnsi="Arial" w:cs="Arial"/>
          <w:sz w:val="20"/>
        </w:rPr>
      </w:pPr>
      <w:r w:rsidRPr="0087741E">
        <w:rPr>
          <w:rFonts w:ascii="Arial" w:hAnsi="Arial" w:cs="Arial"/>
          <w:sz w:val="20"/>
        </w:rPr>
        <w:t>Based on additional data and updated interpretations that indicate increased certainty, portions of Possible and Probable Capacity may be re-categorized as Probable and Proved Capacity.</w:t>
      </w:r>
    </w:p>
    <w:p w14:paraId="77FB3FA0" w14:textId="77777777" w:rsidR="009418F2" w:rsidRPr="0087741E" w:rsidRDefault="009418F2" w:rsidP="009418F2">
      <w:pPr>
        <w:jc w:val="both"/>
        <w:rPr>
          <w:rFonts w:ascii="Arial" w:hAnsi="Arial" w:cs="Arial"/>
          <w:sz w:val="20"/>
        </w:rPr>
      </w:pPr>
    </w:p>
    <w:p w14:paraId="7CC4CFFD" w14:textId="77777777" w:rsidR="009418F2" w:rsidRPr="008910A7" w:rsidRDefault="009418F2" w:rsidP="009418F2">
      <w:pPr>
        <w:jc w:val="both"/>
        <w:rPr>
          <w:rFonts w:ascii="Arial" w:hAnsi="Arial" w:cs="Arial"/>
          <w:sz w:val="20"/>
          <w:szCs w:val="22"/>
        </w:rPr>
      </w:pPr>
      <w:r w:rsidRPr="0087741E">
        <w:rPr>
          <w:rFonts w:ascii="Arial" w:hAnsi="Arial" w:cs="Arial"/>
          <w:sz w:val="20"/>
        </w:rPr>
        <w:t xml:space="preserve">Uncertainty in resource estimates is best communicated by reporting a range of potential results. However, if it is required to report a single representative result, the </w:t>
      </w:r>
      <w:r w:rsidRPr="0087741E">
        <w:rPr>
          <w:rFonts w:cs="Arial"/>
          <w:sz w:val="18"/>
        </w:rPr>
        <w:t>“</w:t>
      </w:r>
      <w:r w:rsidRPr="0087741E">
        <w:rPr>
          <w:rFonts w:ascii="Arial" w:hAnsi="Arial" w:cs="Arial"/>
          <w:sz w:val="20"/>
        </w:rPr>
        <w:t>best estimate</w:t>
      </w:r>
      <w:r w:rsidRPr="0087741E">
        <w:rPr>
          <w:rFonts w:cs="Arial"/>
          <w:sz w:val="18"/>
        </w:rPr>
        <w:t>”</w:t>
      </w:r>
      <w:r w:rsidRPr="0087741E">
        <w:rPr>
          <w:rFonts w:ascii="Arial" w:hAnsi="Arial" w:cs="Arial"/>
          <w:sz w:val="20"/>
        </w:rPr>
        <w:t xml:space="preserve"> is considered the most </w:t>
      </w:r>
      <w:r w:rsidRPr="0087741E">
        <w:rPr>
          <w:rFonts w:ascii="Arial" w:hAnsi="Arial" w:cs="Arial"/>
          <w:sz w:val="20"/>
          <w:szCs w:val="22"/>
        </w:rPr>
        <w:t xml:space="preserve">realistic assessment of storable quantities. It is generally considered to represent the sum of Proved and Probable estimates (2P) when using the deterministic scenario or the probabilistic assessment methods. </w:t>
      </w:r>
      <w:r w:rsidRPr="0087741E">
        <w:rPr>
          <w:rFonts w:ascii="Arial" w:hAnsi="Arial" w:cs="Arial"/>
          <w:sz w:val="20"/>
        </w:rPr>
        <w:t>It should be noted that under the deterministic incremental (risk-based)</w:t>
      </w:r>
      <w:r w:rsidRPr="00D30BC1">
        <w:rPr>
          <w:rFonts w:ascii="Arial" w:hAnsi="Arial" w:cs="Arial"/>
          <w:sz w:val="20"/>
        </w:rPr>
        <w:t xml:space="preserve"> approach, discrete estimates are made for each category, and they should not be aggregated without due consideration of their associated </w:t>
      </w:r>
      <w:r>
        <w:rPr>
          <w:rFonts w:ascii="Arial" w:hAnsi="Arial" w:cs="Arial"/>
          <w:sz w:val="20"/>
        </w:rPr>
        <w:t>chance</w:t>
      </w:r>
      <w:r w:rsidR="00BF0448">
        <w:rPr>
          <w:rFonts w:ascii="Arial" w:hAnsi="Arial" w:cs="Arial"/>
          <w:sz w:val="20"/>
        </w:rPr>
        <w:t xml:space="preserve"> </w:t>
      </w:r>
      <w:r w:rsidRPr="00D30BC1">
        <w:rPr>
          <w:rFonts w:ascii="Arial" w:hAnsi="Arial" w:cs="Arial"/>
          <w:sz w:val="20"/>
          <w:szCs w:val="22"/>
        </w:rPr>
        <w:t>(</w:t>
      </w:r>
      <w:r w:rsidRPr="00F2132A">
        <w:rPr>
          <w:rFonts w:ascii="Arial" w:hAnsi="Arial" w:cs="Arial"/>
          <w:sz w:val="20"/>
          <w:szCs w:val="22"/>
          <w:highlight w:val="red"/>
        </w:rPr>
        <w:t xml:space="preserve">see </w:t>
      </w:r>
      <w:r w:rsidRPr="00F2132A">
        <w:rPr>
          <w:rFonts w:cs="Arial"/>
          <w:sz w:val="18"/>
          <w:szCs w:val="22"/>
          <w:highlight w:val="red"/>
        </w:rPr>
        <w:t>“</w:t>
      </w:r>
      <w:r w:rsidRPr="00F2132A">
        <w:rPr>
          <w:rFonts w:ascii="Arial" w:hAnsi="Arial" w:cs="Arial"/>
          <w:sz w:val="20"/>
          <w:szCs w:val="22"/>
          <w:highlight w:val="red"/>
        </w:rPr>
        <w:t>2001 Supplemental Guidelines,</w:t>
      </w:r>
      <w:r w:rsidRPr="00F2132A">
        <w:rPr>
          <w:rFonts w:cs="Arial"/>
          <w:sz w:val="18"/>
          <w:szCs w:val="22"/>
          <w:highlight w:val="red"/>
        </w:rPr>
        <w:t>”</w:t>
      </w:r>
      <w:r w:rsidRPr="00F2132A">
        <w:rPr>
          <w:rFonts w:ascii="Arial" w:hAnsi="Arial" w:cs="Arial"/>
          <w:sz w:val="20"/>
          <w:szCs w:val="22"/>
          <w:highlight w:val="red"/>
        </w:rPr>
        <w:t xml:space="preserve"> Chapter 2.5</w:t>
      </w:r>
      <w:r w:rsidRPr="00D30BC1">
        <w:rPr>
          <w:rFonts w:ascii="Arial" w:hAnsi="Arial" w:cs="Arial"/>
          <w:sz w:val="20"/>
          <w:szCs w:val="22"/>
        </w:rPr>
        <w:t>).</w:t>
      </w:r>
    </w:p>
    <w:p w14:paraId="256C0849" w14:textId="77777777" w:rsidR="009418F2" w:rsidRPr="00D30BC1" w:rsidRDefault="009418F2" w:rsidP="009418F2">
      <w:pPr>
        <w:pStyle w:val="CommentText"/>
        <w:rPr>
          <w:rFonts w:ascii="Arial" w:hAnsi="Arial" w:cs="Arial"/>
          <w:szCs w:val="24"/>
        </w:rPr>
      </w:pPr>
    </w:p>
    <w:p w14:paraId="3C86973C" w14:textId="77777777" w:rsidR="009418F2" w:rsidRPr="00D30BC1" w:rsidRDefault="009418F2" w:rsidP="009418F2">
      <w:pPr>
        <w:pStyle w:val="Heading8"/>
        <w:rPr>
          <w:rStyle w:val="header3burg"/>
        </w:rPr>
      </w:pPr>
      <w:r w:rsidRPr="00D30BC1">
        <w:rPr>
          <w:rStyle w:val="header3burg"/>
        </w:rPr>
        <w:t xml:space="preserve">2.3   Incremental </w:t>
      </w:r>
      <w:commentRangeStart w:id="11"/>
      <w:r w:rsidRPr="00D30BC1">
        <w:rPr>
          <w:rStyle w:val="header3burg"/>
        </w:rPr>
        <w:t>Projects</w:t>
      </w:r>
      <w:commentRangeEnd w:id="11"/>
      <w:r>
        <w:rPr>
          <w:rStyle w:val="CommentReference"/>
          <w:rFonts w:ascii="Times New Roman" w:hAnsi="Times New Roman" w:cs="Times New Roman"/>
          <w:b w:val="0"/>
          <w:bCs w:val="0"/>
        </w:rPr>
        <w:commentReference w:id="11"/>
      </w:r>
      <w:r w:rsidRPr="00D30BC1">
        <w:rPr>
          <w:rStyle w:val="header3burg"/>
        </w:rPr>
        <w:t xml:space="preserve">  </w:t>
      </w:r>
    </w:p>
    <w:p w14:paraId="1264B3EA" w14:textId="77777777" w:rsidR="009418F2" w:rsidRPr="00D30BC1" w:rsidRDefault="009418F2" w:rsidP="009418F2">
      <w:pPr>
        <w:rPr>
          <w:rStyle w:val="header3burg"/>
          <w:rFonts w:ascii="Arial" w:hAnsi="Arial" w:cs="Arial"/>
          <w:b/>
          <w:bCs/>
          <w:sz w:val="20"/>
        </w:rPr>
      </w:pPr>
    </w:p>
    <w:p w14:paraId="3C56C6B0" w14:textId="77777777" w:rsidR="009418F2" w:rsidRPr="00D30BC1" w:rsidRDefault="009418F2" w:rsidP="009418F2">
      <w:pPr>
        <w:pStyle w:val="BodyText"/>
        <w:jc w:val="both"/>
      </w:pPr>
      <w:r w:rsidRPr="00D30BC1">
        <w:t xml:space="preserve">The initial resource assessment is based on application of a defined initial development project.  Incremental projects are designed to increase </w:t>
      </w:r>
      <w:r>
        <w:t>storage</w:t>
      </w:r>
      <w:r w:rsidRPr="00D30BC1">
        <w:t xml:space="preserve"> efficiency and/or to accelerate </w:t>
      </w:r>
      <w:r>
        <w:t>injection</w:t>
      </w:r>
      <w:r w:rsidRPr="00D30BC1">
        <w:t xml:space="preserve"> through making changes to </w:t>
      </w:r>
      <w:r w:rsidR="005C56A2">
        <w:t>existing projects.</w:t>
      </w:r>
      <w:r w:rsidRPr="00D30BC1">
        <w:t xml:space="preserve"> Such projects should be classified according to the same criteria as initial projects. Related incremental quantities are similarly categorized on certainty of </w:t>
      </w:r>
      <w:r>
        <w:t>storage capacity</w:t>
      </w:r>
      <w:r w:rsidRPr="00D30BC1">
        <w:t xml:space="preserve">. The projected increased </w:t>
      </w:r>
      <w:r>
        <w:t>storage</w:t>
      </w:r>
      <w:r w:rsidRPr="00D30BC1">
        <w:t xml:space="preserve"> can be included in estimated </w:t>
      </w:r>
      <w:r>
        <w:t>Capacity</w:t>
      </w:r>
      <w:r w:rsidRPr="00D30BC1">
        <w:t xml:space="preserve"> if the degree of commitment is such that the project will be developed and placed on </w:t>
      </w:r>
      <w:r>
        <w:t>injection</w:t>
      </w:r>
      <w:r w:rsidRPr="00D30BC1">
        <w:t xml:space="preserve"> within a reasonable timeframe.  </w:t>
      </w:r>
    </w:p>
    <w:p w14:paraId="68112DFE" w14:textId="77777777" w:rsidR="009418F2" w:rsidRPr="00D30BC1" w:rsidRDefault="009418F2" w:rsidP="009418F2">
      <w:pPr>
        <w:pStyle w:val="BodyText"/>
        <w:jc w:val="both"/>
      </w:pPr>
    </w:p>
    <w:p w14:paraId="761E643A" w14:textId="77777777" w:rsidR="009418F2" w:rsidRPr="00D30BC1" w:rsidRDefault="009418F2" w:rsidP="009418F2">
      <w:pPr>
        <w:pStyle w:val="BodyText"/>
        <w:jc w:val="both"/>
      </w:pPr>
      <w:r w:rsidRPr="00D30BC1">
        <w:t>Circumstances where development will be significantly delayed should be clearly documented. If the</w:t>
      </w:r>
      <w:r>
        <w:t xml:space="preserve"> likelihood of project execution is not reasonably expected, then the </w:t>
      </w:r>
      <w:r w:rsidRPr="00D30BC1">
        <w:t xml:space="preserve">forecast incremental </w:t>
      </w:r>
      <w:r>
        <w:t>storage</w:t>
      </w:r>
      <w:r w:rsidRPr="00D30BC1">
        <w:t xml:space="preserve"> should be classified as </w:t>
      </w:r>
      <w:r w:rsidRPr="0087741E">
        <w:t>Contingent Storage Resources</w:t>
      </w:r>
      <w:r w:rsidRPr="00D30BC1">
        <w:t xml:space="preserve"> </w:t>
      </w:r>
      <w:r w:rsidRPr="009A58E3">
        <w:t>(see Determination of Commerciality, section 2.1.2</w:t>
      </w:r>
      <w:r w:rsidRPr="00D30BC1">
        <w:t>).</w:t>
      </w:r>
    </w:p>
    <w:p w14:paraId="06F8080C" w14:textId="77777777" w:rsidR="006B202E" w:rsidRDefault="009418F2" w:rsidP="009418F2">
      <w:pPr>
        <w:pStyle w:val="Heading2"/>
        <w:rPr>
          <w:sz w:val="20"/>
        </w:rPr>
      </w:pPr>
      <w:r w:rsidRPr="00D30BC1">
        <w:rPr>
          <w:sz w:val="20"/>
        </w:rPr>
        <w:t xml:space="preserve"> </w:t>
      </w:r>
    </w:p>
    <w:p w14:paraId="74597B50" w14:textId="77777777" w:rsidR="009418F2" w:rsidRPr="00D30BC1" w:rsidRDefault="009418F2" w:rsidP="00D30BC1">
      <w:pPr>
        <w:rPr>
          <w:sz w:val="20"/>
        </w:rPr>
      </w:pPr>
    </w:p>
    <w:p w14:paraId="27DCACCB" w14:textId="77777777" w:rsidR="006B202E" w:rsidRPr="00D30BC1" w:rsidRDefault="006B202E" w:rsidP="006B202E">
      <w:pPr>
        <w:pStyle w:val="Heading2"/>
        <w:numPr>
          <w:ilvl w:val="0"/>
          <w:numId w:val="7"/>
        </w:numPr>
        <w:rPr>
          <w:sz w:val="32"/>
        </w:rPr>
      </w:pPr>
      <w:r w:rsidRPr="00D30BC1">
        <w:rPr>
          <w:sz w:val="32"/>
        </w:rPr>
        <w:t xml:space="preserve">Evaluation and Reporting Guidelines </w:t>
      </w:r>
    </w:p>
    <w:p w14:paraId="57DD9D9E" w14:textId="77777777" w:rsidR="006B202E" w:rsidRPr="00D30BC1" w:rsidRDefault="006B202E" w:rsidP="00D30BC1"/>
    <w:p w14:paraId="6BF4A73D" w14:textId="77777777" w:rsidR="006B202E" w:rsidRPr="00D30BC1" w:rsidRDefault="006B202E" w:rsidP="00123ECC">
      <w:pPr>
        <w:jc w:val="both"/>
        <w:rPr>
          <w:rFonts w:ascii="Arial" w:hAnsi="Arial" w:cs="Arial"/>
          <w:sz w:val="20"/>
        </w:rPr>
      </w:pPr>
      <w:r w:rsidRPr="00D30BC1">
        <w:rPr>
          <w:rFonts w:ascii="Arial" w:hAnsi="Arial" w:cs="Arial"/>
          <w:sz w:val="20"/>
        </w:rPr>
        <w:t xml:space="preserve">The following guidelines are provided to promote consistency in project evaluations and reporting. </w:t>
      </w:r>
      <w:r w:rsidRPr="00D30BC1">
        <w:rPr>
          <w:rFonts w:cs="Arial"/>
          <w:sz w:val="18"/>
        </w:rPr>
        <w:t>“</w:t>
      </w:r>
      <w:r w:rsidRPr="00D30BC1">
        <w:rPr>
          <w:rFonts w:ascii="Arial" w:hAnsi="Arial" w:cs="Arial"/>
          <w:sz w:val="20"/>
        </w:rPr>
        <w:t>Reporting</w:t>
      </w:r>
      <w:r w:rsidRPr="00D30BC1">
        <w:rPr>
          <w:rFonts w:cs="Arial"/>
          <w:sz w:val="18"/>
        </w:rPr>
        <w:t>”</w:t>
      </w:r>
      <w:r w:rsidRPr="00D30BC1">
        <w:rPr>
          <w:rFonts w:ascii="Arial" w:hAnsi="Arial" w:cs="Arial"/>
          <w:sz w:val="20"/>
        </w:rPr>
        <w:t xml:space="preserve"> refers to the presentation of evaluation results within the business entity conducting the evaluation and should not be construed as replacing guidelines for subsequent public disclosures under guidelines established by regulatory and/or other government agencies, or any current or future associated accounting standards. </w:t>
      </w:r>
    </w:p>
    <w:p w14:paraId="23C0BE22" w14:textId="77777777" w:rsidR="006B202E" w:rsidRPr="00D30BC1" w:rsidRDefault="006B202E" w:rsidP="00D30BC1">
      <w:pPr>
        <w:pStyle w:val="BodyText"/>
        <w:autoSpaceDE w:val="0"/>
        <w:autoSpaceDN w:val="0"/>
        <w:adjustRightInd w:val="0"/>
        <w:rPr>
          <w:b/>
          <w:bCs/>
        </w:rPr>
      </w:pPr>
    </w:p>
    <w:p w14:paraId="344AD247" w14:textId="77777777" w:rsidR="006B202E" w:rsidRPr="00D30BC1" w:rsidRDefault="006B202E" w:rsidP="00D30BC1">
      <w:pPr>
        <w:pStyle w:val="Heading2"/>
        <w:rPr>
          <w:b w:val="0"/>
          <w:bCs w:val="0"/>
        </w:rPr>
      </w:pPr>
      <w:r w:rsidRPr="00D30BC1">
        <w:t>3.1</w:t>
      </w:r>
      <w:r w:rsidRPr="00D30BC1">
        <w:tab/>
        <w:t>Commercial Evaluations</w:t>
      </w:r>
    </w:p>
    <w:p w14:paraId="3571C2EA" w14:textId="77777777" w:rsidR="006B202E" w:rsidRPr="00D30BC1" w:rsidRDefault="006B202E" w:rsidP="00D30BC1">
      <w:pPr>
        <w:pStyle w:val="BodyText"/>
        <w:autoSpaceDE w:val="0"/>
        <w:autoSpaceDN w:val="0"/>
        <w:adjustRightInd w:val="0"/>
        <w:ind w:left="720"/>
        <w:rPr>
          <w:b/>
          <w:bCs/>
        </w:rPr>
      </w:pPr>
      <w:r w:rsidRPr="00D30BC1">
        <w:rPr>
          <w:b/>
          <w:bCs/>
        </w:rPr>
        <w:t xml:space="preserve">  </w:t>
      </w:r>
    </w:p>
    <w:p w14:paraId="684F4BAB" w14:textId="77777777" w:rsidR="006B202E" w:rsidRPr="00D30BC1" w:rsidRDefault="006B202E" w:rsidP="00D30BC1">
      <w:pPr>
        <w:pStyle w:val="BodyText"/>
        <w:jc w:val="both"/>
      </w:pPr>
      <w:r w:rsidRPr="00D30BC1">
        <w:t>Investment decisions are based on the entity</w:t>
      </w:r>
      <w:r w:rsidRPr="00D30BC1">
        <w:rPr>
          <w:rFonts w:ascii="Times New Roman" w:hAnsi="Times New Roman"/>
          <w:sz w:val="18"/>
        </w:rPr>
        <w:t>’</w:t>
      </w:r>
      <w:r w:rsidRPr="00D30BC1">
        <w:t xml:space="preserve">s view of future commercial conditions that may impact the development feasibility (commitment to develop) and </w:t>
      </w:r>
      <w:r>
        <w:t>injection</w:t>
      </w:r>
      <w:r w:rsidRPr="00D30BC1">
        <w:t xml:space="preserve">/cash flow schedule of </w:t>
      </w:r>
      <w:r>
        <w:t>storage</w:t>
      </w:r>
      <w:r w:rsidRPr="00D30BC1">
        <w:t xml:space="preserve"> projects. Commercial conditions include, but are not limited to, assumptions of financial conditions (costs, prices, fiscal terms, taxes</w:t>
      </w:r>
      <w:r>
        <w:t>, credits and subsidies</w:t>
      </w:r>
      <w:r w:rsidRPr="00D30BC1">
        <w:t xml:space="preserve">), marketing, legal, environmental, social, and governmental factors. Project value may be assessed in several ways (e.g., historical costs, comparative market values); the guidelines herein apply only to evaluations based on cash flow analysis. Moreover, modifying factors such </w:t>
      </w:r>
      <w:r>
        <w:t xml:space="preserve">as </w:t>
      </w:r>
      <w:r w:rsidRPr="00D30BC1">
        <w:t>contractual or political risks that may additionally influence investment decisions are not addressed. (</w:t>
      </w:r>
      <w:r w:rsidRPr="00B6117C">
        <w:rPr>
          <w:highlight w:val="red"/>
        </w:rPr>
        <w:t xml:space="preserve">Additional detail on commercial issues can be found in the </w:t>
      </w:r>
      <w:r w:rsidRPr="00B6117C">
        <w:rPr>
          <w:rFonts w:ascii="Times New Roman" w:hAnsi="Times New Roman"/>
          <w:sz w:val="18"/>
          <w:highlight w:val="red"/>
        </w:rPr>
        <w:t>“</w:t>
      </w:r>
      <w:r w:rsidRPr="00B6117C">
        <w:rPr>
          <w:highlight w:val="red"/>
        </w:rPr>
        <w:t>2001 Supplemental Guidelines,</w:t>
      </w:r>
      <w:r w:rsidRPr="00B6117C">
        <w:rPr>
          <w:rFonts w:ascii="Times New Roman" w:hAnsi="Times New Roman"/>
          <w:sz w:val="18"/>
          <w:highlight w:val="red"/>
        </w:rPr>
        <w:t>”</w:t>
      </w:r>
      <w:r w:rsidRPr="00B6117C">
        <w:rPr>
          <w:highlight w:val="red"/>
        </w:rPr>
        <w:t xml:space="preserve"> Chapter 4</w:t>
      </w:r>
      <w:r w:rsidRPr="00D30BC1">
        <w:t xml:space="preserve">.) </w:t>
      </w:r>
    </w:p>
    <w:p w14:paraId="4516D5F5" w14:textId="77777777" w:rsidR="006B202E" w:rsidRPr="00D30BC1" w:rsidRDefault="006B202E" w:rsidP="00D30BC1">
      <w:pPr>
        <w:pStyle w:val="BodyText"/>
      </w:pPr>
    </w:p>
    <w:p w14:paraId="181AF4FE" w14:textId="77777777" w:rsidR="006B202E" w:rsidRPr="00D30BC1" w:rsidRDefault="006B202E" w:rsidP="00D30BC1">
      <w:pPr>
        <w:pStyle w:val="Heading8"/>
      </w:pPr>
      <w:r w:rsidRPr="00D30BC1">
        <w:t xml:space="preserve">3.1.1 </w:t>
      </w:r>
      <w:r w:rsidRPr="00D30BC1">
        <w:tab/>
        <w:t>Cash-Flow-Based Resources Evaluations</w:t>
      </w:r>
      <w:r w:rsidRPr="00D30BC1">
        <w:rPr>
          <w:u w:val="single"/>
        </w:rPr>
        <w:t xml:space="preserve">  </w:t>
      </w:r>
    </w:p>
    <w:p w14:paraId="5D3577B5" w14:textId="77777777" w:rsidR="006B202E" w:rsidRPr="00D30BC1" w:rsidRDefault="006B202E" w:rsidP="00D30BC1">
      <w:pPr>
        <w:pStyle w:val="BodyText"/>
        <w:autoSpaceDE w:val="0"/>
        <w:autoSpaceDN w:val="0"/>
        <w:adjustRightInd w:val="0"/>
      </w:pPr>
    </w:p>
    <w:p w14:paraId="673E46E0" w14:textId="77777777" w:rsidR="006B202E" w:rsidRDefault="006B202E" w:rsidP="00D30BC1">
      <w:pPr>
        <w:pStyle w:val="BodyText"/>
        <w:autoSpaceDE w:val="0"/>
        <w:autoSpaceDN w:val="0"/>
        <w:adjustRightInd w:val="0"/>
        <w:jc w:val="both"/>
      </w:pPr>
      <w:r w:rsidRPr="00D30BC1">
        <w:t xml:space="preserve">Resource evaluations are based on estimates of future </w:t>
      </w:r>
      <w:r>
        <w:t>injection</w:t>
      </w:r>
      <w:r w:rsidRPr="00D30BC1">
        <w:t xml:space="preserve"> and the associated cash flow schedules for each development project</w:t>
      </w:r>
      <w:r>
        <w:t xml:space="preserve"> or related project wherein credits for said injection are being u</w:t>
      </w:r>
      <w:r w:rsidR="005F11D2">
        <w:t>s</w:t>
      </w:r>
      <w:r>
        <w:t>ed</w:t>
      </w:r>
      <w:r w:rsidRPr="00D30BC1">
        <w:t xml:space="preserve">. The sum of the associated annual net cash flows yields the estimated future net revenue. </w:t>
      </w:r>
    </w:p>
    <w:p w14:paraId="5B31DD55" w14:textId="77777777" w:rsidR="005F11D2" w:rsidRDefault="005F11D2" w:rsidP="00D30BC1">
      <w:pPr>
        <w:pStyle w:val="BodyText"/>
        <w:autoSpaceDE w:val="0"/>
        <w:autoSpaceDN w:val="0"/>
        <w:adjustRightInd w:val="0"/>
        <w:jc w:val="both"/>
      </w:pPr>
    </w:p>
    <w:p w14:paraId="2304FD8B" w14:textId="77777777" w:rsidR="006B202E" w:rsidRDefault="006B202E" w:rsidP="00D30BC1">
      <w:pPr>
        <w:pStyle w:val="BodyText"/>
        <w:autoSpaceDE w:val="0"/>
        <w:autoSpaceDN w:val="0"/>
        <w:adjustRightInd w:val="0"/>
        <w:jc w:val="both"/>
      </w:pPr>
      <w:r>
        <w:t xml:space="preserve">Where the storage project revenue is from </w:t>
      </w:r>
      <w:r w:rsidR="00207D07">
        <w:t xml:space="preserve">the </w:t>
      </w:r>
      <w:r>
        <w:t>sale of ‘storage’ of CO</w:t>
      </w:r>
      <w:r w:rsidRPr="00B72DFA">
        <w:rPr>
          <w:vertAlign w:val="subscript"/>
        </w:rPr>
        <w:t>2</w:t>
      </w:r>
      <w:r>
        <w:t xml:space="preserve"> that has been </w:t>
      </w:r>
      <w:r w:rsidR="00207D07">
        <w:t>generated</w:t>
      </w:r>
      <w:r>
        <w:t xml:space="preserve"> and transferred from a separate project or entity</w:t>
      </w:r>
      <w:r w:rsidR="00207D07">
        <w:t xml:space="preserve"> (e.g. an industrial plant, power generation or a hydrocarbon producing project)</w:t>
      </w:r>
      <w:r>
        <w:t xml:space="preserve">, the </w:t>
      </w:r>
      <w:r w:rsidR="005F11D2">
        <w:t>cash flow</w:t>
      </w:r>
      <w:r>
        <w:t xml:space="preserve"> should be evaluated for the storage project alone on the basis of the forecasted CO</w:t>
      </w:r>
      <w:r w:rsidRPr="00B72DFA">
        <w:rPr>
          <w:vertAlign w:val="subscript"/>
        </w:rPr>
        <w:t>2</w:t>
      </w:r>
      <w:r>
        <w:t xml:space="preserve"> supply and agreed fiscal terms as laid out in the storage contract.</w:t>
      </w:r>
    </w:p>
    <w:p w14:paraId="117F740C" w14:textId="77777777" w:rsidR="005F11D2" w:rsidRDefault="005F11D2" w:rsidP="00D30BC1">
      <w:pPr>
        <w:pStyle w:val="BodyText"/>
        <w:autoSpaceDE w:val="0"/>
        <w:autoSpaceDN w:val="0"/>
        <w:adjustRightInd w:val="0"/>
        <w:jc w:val="both"/>
      </w:pPr>
    </w:p>
    <w:p w14:paraId="6193ACD3" w14:textId="77777777" w:rsidR="006B202E" w:rsidRDefault="006B202E" w:rsidP="00D30BC1">
      <w:pPr>
        <w:pStyle w:val="BodyText"/>
        <w:autoSpaceDE w:val="0"/>
        <w:autoSpaceDN w:val="0"/>
        <w:adjustRightInd w:val="0"/>
        <w:jc w:val="both"/>
      </w:pPr>
      <w:r>
        <w:t>Where the storage project is developed (or retrofitted) in direct combination with a larger revenue generating and CO</w:t>
      </w:r>
      <w:r w:rsidRPr="00B72DFA">
        <w:rPr>
          <w:vertAlign w:val="subscript"/>
        </w:rPr>
        <w:t>2</w:t>
      </w:r>
      <w:r>
        <w:t xml:space="preserve"> </w:t>
      </w:r>
      <w:r w:rsidR="00207D07">
        <w:t>generating</w:t>
      </w:r>
      <w:r>
        <w:t xml:space="preserve"> project; then the revenue and net cash flows should be evaluated at a combined project level (going forward from the date of evaluation), such that the storage costs are treated as additional CAPEX and OPEX to the revenue generating project.</w:t>
      </w:r>
    </w:p>
    <w:p w14:paraId="795A0AE4" w14:textId="77777777" w:rsidR="005F11D2" w:rsidRDefault="005F11D2" w:rsidP="00D30BC1">
      <w:pPr>
        <w:pStyle w:val="BodyText"/>
        <w:autoSpaceDE w:val="0"/>
        <w:autoSpaceDN w:val="0"/>
        <w:adjustRightInd w:val="0"/>
        <w:jc w:val="both"/>
      </w:pPr>
    </w:p>
    <w:p w14:paraId="0E60D0C8" w14:textId="77777777" w:rsidR="006B202E" w:rsidRPr="00D30BC1" w:rsidRDefault="006B202E" w:rsidP="00D30BC1">
      <w:pPr>
        <w:pStyle w:val="BodyText"/>
        <w:autoSpaceDE w:val="0"/>
        <w:autoSpaceDN w:val="0"/>
        <w:adjustRightInd w:val="0"/>
        <w:jc w:val="both"/>
      </w:pPr>
      <w:r w:rsidRPr="00D30BC1">
        <w:t>When the cash flows are discounted according to a defined discount rate and time period, the summation of the discounted cash flows is termed net present value (NPV) of the project. The calculation shall reflect:</w:t>
      </w:r>
    </w:p>
    <w:p w14:paraId="33363730" w14:textId="77777777" w:rsidR="006B202E" w:rsidRPr="00D30BC1" w:rsidRDefault="006B202E" w:rsidP="00D30BC1">
      <w:pPr>
        <w:pStyle w:val="CommentText"/>
        <w:autoSpaceDE w:val="0"/>
        <w:autoSpaceDN w:val="0"/>
        <w:adjustRightInd w:val="0"/>
        <w:jc w:val="both"/>
        <w:rPr>
          <w:rFonts w:ascii="Arial" w:hAnsi="Arial" w:cs="Arial"/>
          <w:szCs w:val="24"/>
        </w:rPr>
      </w:pPr>
    </w:p>
    <w:p w14:paraId="41EFFE8F" w14:textId="77777777" w:rsidR="006B202E" w:rsidRPr="00D30BC1" w:rsidRDefault="006B202E" w:rsidP="006B202E">
      <w:pPr>
        <w:numPr>
          <w:ilvl w:val="0"/>
          <w:numId w:val="33"/>
        </w:numPr>
        <w:tabs>
          <w:tab w:val="clear" w:pos="720"/>
        </w:tabs>
        <w:autoSpaceDE w:val="0"/>
        <w:autoSpaceDN w:val="0"/>
        <w:adjustRightInd w:val="0"/>
        <w:ind w:left="360"/>
        <w:jc w:val="both"/>
        <w:rPr>
          <w:rFonts w:ascii="Arial" w:hAnsi="Arial" w:cs="Arial"/>
          <w:sz w:val="20"/>
        </w:rPr>
      </w:pPr>
      <w:r w:rsidRPr="00D30BC1">
        <w:rPr>
          <w:rFonts w:ascii="Arial" w:hAnsi="Arial" w:cs="Arial"/>
          <w:sz w:val="20"/>
        </w:rPr>
        <w:t xml:space="preserve">The expected quantities of </w:t>
      </w:r>
      <w:r>
        <w:rPr>
          <w:rFonts w:ascii="Arial" w:hAnsi="Arial" w:cs="Arial"/>
          <w:sz w:val="20"/>
        </w:rPr>
        <w:t>storage</w:t>
      </w:r>
      <w:r w:rsidRPr="00D30BC1">
        <w:rPr>
          <w:rFonts w:ascii="Arial" w:hAnsi="Arial" w:cs="Arial"/>
          <w:sz w:val="20"/>
        </w:rPr>
        <w:t xml:space="preserve"> projected over identified time periods.</w:t>
      </w:r>
    </w:p>
    <w:p w14:paraId="2F0590C9" w14:textId="77777777" w:rsidR="006B202E" w:rsidRPr="00D30BC1" w:rsidRDefault="006B202E" w:rsidP="006B202E">
      <w:pPr>
        <w:numPr>
          <w:ilvl w:val="0"/>
          <w:numId w:val="33"/>
        </w:numPr>
        <w:tabs>
          <w:tab w:val="clear" w:pos="720"/>
        </w:tabs>
        <w:autoSpaceDE w:val="0"/>
        <w:autoSpaceDN w:val="0"/>
        <w:adjustRightInd w:val="0"/>
        <w:ind w:left="360"/>
        <w:jc w:val="both"/>
        <w:rPr>
          <w:rFonts w:ascii="Arial" w:hAnsi="Arial" w:cs="Arial"/>
          <w:sz w:val="20"/>
        </w:rPr>
      </w:pPr>
      <w:r w:rsidRPr="00D30BC1">
        <w:rPr>
          <w:rFonts w:ascii="Arial" w:hAnsi="Arial" w:cs="Arial"/>
          <w:sz w:val="20"/>
        </w:rPr>
        <w:t xml:space="preserve">The estimated costs associated with the project to develop, </w:t>
      </w:r>
      <w:r>
        <w:rPr>
          <w:rFonts w:ascii="Arial" w:hAnsi="Arial" w:cs="Arial"/>
          <w:sz w:val="20"/>
        </w:rPr>
        <w:t>inject</w:t>
      </w:r>
      <w:r w:rsidRPr="00D30BC1">
        <w:rPr>
          <w:rFonts w:ascii="Arial" w:hAnsi="Arial" w:cs="Arial"/>
          <w:sz w:val="20"/>
        </w:rPr>
        <w:t xml:space="preserve"> </w:t>
      </w:r>
      <w:r>
        <w:rPr>
          <w:rFonts w:ascii="Arial" w:hAnsi="Arial" w:cs="Arial"/>
          <w:sz w:val="20"/>
        </w:rPr>
        <w:t>and u</w:t>
      </w:r>
      <w:r w:rsidR="00547175">
        <w:rPr>
          <w:rFonts w:ascii="Arial" w:hAnsi="Arial" w:cs="Arial"/>
          <w:sz w:val="20"/>
        </w:rPr>
        <w:t>s</w:t>
      </w:r>
      <w:r>
        <w:rPr>
          <w:rFonts w:ascii="Arial" w:hAnsi="Arial" w:cs="Arial"/>
          <w:sz w:val="20"/>
        </w:rPr>
        <w:t xml:space="preserve">e </w:t>
      </w:r>
      <w:r w:rsidRPr="00D30BC1">
        <w:rPr>
          <w:rFonts w:ascii="Arial" w:hAnsi="Arial" w:cs="Arial"/>
          <w:sz w:val="20"/>
        </w:rPr>
        <w:t xml:space="preserve">the quantities of </w:t>
      </w:r>
      <w:r>
        <w:rPr>
          <w:rFonts w:ascii="Arial" w:hAnsi="Arial" w:cs="Arial"/>
          <w:sz w:val="20"/>
        </w:rPr>
        <w:t>storage</w:t>
      </w:r>
      <w:r w:rsidRPr="00D30BC1">
        <w:rPr>
          <w:rFonts w:ascii="Arial" w:hAnsi="Arial" w:cs="Arial"/>
          <w:sz w:val="20"/>
        </w:rPr>
        <w:t xml:space="preserve"> </w:t>
      </w:r>
      <w:r>
        <w:rPr>
          <w:rFonts w:ascii="Arial" w:hAnsi="Arial" w:cs="Arial"/>
          <w:sz w:val="20"/>
        </w:rPr>
        <w:t xml:space="preserve">resources as measured </w:t>
      </w:r>
      <w:r w:rsidR="00547175">
        <w:rPr>
          <w:rFonts w:ascii="Arial" w:hAnsi="Arial" w:cs="Arial"/>
          <w:sz w:val="20"/>
        </w:rPr>
        <w:t xml:space="preserve">at </w:t>
      </w:r>
      <w:r>
        <w:rPr>
          <w:rFonts w:ascii="Arial" w:hAnsi="Arial" w:cs="Arial"/>
          <w:sz w:val="20"/>
        </w:rPr>
        <w:t>the defined</w:t>
      </w:r>
      <w:r w:rsidRPr="00D30BC1">
        <w:rPr>
          <w:rFonts w:ascii="Arial" w:hAnsi="Arial" w:cs="Arial"/>
          <w:sz w:val="20"/>
        </w:rPr>
        <w:t xml:space="preserve"> Reference Point (</w:t>
      </w:r>
      <w:r w:rsidRPr="00ED307F">
        <w:rPr>
          <w:rFonts w:ascii="Arial" w:hAnsi="Arial" w:cs="Arial"/>
          <w:sz w:val="20"/>
        </w:rPr>
        <w:t>see section 3.2.1),</w:t>
      </w:r>
      <w:r w:rsidRPr="00D30BC1">
        <w:rPr>
          <w:rFonts w:ascii="Arial" w:hAnsi="Arial" w:cs="Arial"/>
          <w:sz w:val="20"/>
        </w:rPr>
        <w:t xml:space="preserve"> including environmental, abandonment, </w:t>
      </w:r>
      <w:r w:rsidR="00ED307F">
        <w:rPr>
          <w:rFonts w:ascii="Arial" w:hAnsi="Arial" w:cs="Arial"/>
          <w:sz w:val="20"/>
        </w:rPr>
        <w:t xml:space="preserve">post-closure monitoring, </w:t>
      </w:r>
      <w:r w:rsidRPr="00D30BC1">
        <w:rPr>
          <w:rFonts w:ascii="Arial" w:hAnsi="Arial" w:cs="Arial"/>
          <w:sz w:val="20"/>
        </w:rPr>
        <w:t>and reclamation costs charged to the project, based on the evaluator</w:t>
      </w:r>
      <w:r w:rsidRPr="00D30BC1">
        <w:rPr>
          <w:rFonts w:cs="Arial"/>
          <w:sz w:val="18"/>
        </w:rPr>
        <w:t>’</w:t>
      </w:r>
      <w:r w:rsidRPr="00D30BC1">
        <w:rPr>
          <w:rFonts w:ascii="Arial" w:hAnsi="Arial" w:cs="Arial"/>
          <w:sz w:val="20"/>
        </w:rPr>
        <w:t>s view of the costs expected to apply in future periods.</w:t>
      </w:r>
    </w:p>
    <w:p w14:paraId="03904AE3" w14:textId="77777777" w:rsidR="006B202E" w:rsidRPr="00D30BC1" w:rsidRDefault="006B202E" w:rsidP="006B202E">
      <w:pPr>
        <w:numPr>
          <w:ilvl w:val="0"/>
          <w:numId w:val="33"/>
        </w:numPr>
        <w:tabs>
          <w:tab w:val="clear" w:pos="720"/>
        </w:tabs>
        <w:autoSpaceDE w:val="0"/>
        <w:autoSpaceDN w:val="0"/>
        <w:adjustRightInd w:val="0"/>
        <w:ind w:left="360"/>
        <w:jc w:val="both"/>
        <w:rPr>
          <w:rFonts w:ascii="Arial" w:hAnsi="Arial" w:cs="Arial"/>
          <w:sz w:val="20"/>
        </w:rPr>
      </w:pPr>
      <w:r w:rsidRPr="00D30BC1">
        <w:rPr>
          <w:rFonts w:ascii="Arial" w:hAnsi="Arial" w:cs="Arial"/>
          <w:sz w:val="20"/>
        </w:rPr>
        <w:t xml:space="preserve">The estimated revenues from the quantities of </w:t>
      </w:r>
      <w:r>
        <w:rPr>
          <w:rFonts w:ascii="Arial" w:hAnsi="Arial" w:cs="Arial"/>
          <w:sz w:val="20"/>
        </w:rPr>
        <w:t>injection,</w:t>
      </w:r>
      <w:r w:rsidRPr="00D30BC1">
        <w:rPr>
          <w:rFonts w:ascii="Arial" w:hAnsi="Arial" w:cs="Arial"/>
          <w:sz w:val="20"/>
        </w:rPr>
        <w:t xml:space="preserve"> based on the evaluator</w:t>
      </w:r>
      <w:r w:rsidRPr="00D30BC1">
        <w:rPr>
          <w:rFonts w:cs="Arial"/>
          <w:sz w:val="18"/>
        </w:rPr>
        <w:t>’</w:t>
      </w:r>
      <w:r w:rsidRPr="00D30BC1">
        <w:rPr>
          <w:rFonts w:ascii="Arial" w:hAnsi="Arial" w:cs="Arial"/>
          <w:sz w:val="20"/>
        </w:rPr>
        <w:t>s view of the prices</w:t>
      </w:r>
      <w:r>
        <w:rPr>
          <w:rFonts w:ascii="Arial" w:hAnsi="Arial" w:cs="Arial"/>
          <w:sz w:val="20"/>
        </w:rPr>
        <w:t>, subsidies and/or tax credits</w:t>
      </w:r>
      <w:r w:rsidRPr="00D30BC1">
        <w:rPr>
          <w:rFonts w:ascii="Arial" w:hAnsi="Arial" w:cs="Arial"/>
          <w:sz w:val="20"/>
        </w:rPr>
        <w:t xml:space="preserve"> expected to apply to the </w:t>
      </w:r>
      <w:r>
        <w:t>CO</w:t>
      </w:r>
      <w:r w:rsidRPr="00B72DFA">
        <w:rPr>
          <w:vertAlign w:val="subscript"/>
        </w:rPr>
        <w:t>2</w:t>
      </w:r>
      <w:r>
        <w:rPr>
          <w:rFonts w:ascii="Arial" w:hAnsi="Arial" w:cs="Arial"/>
          <w:sz w:val="20"/>
        </w:rPr>
        <w:t xml:space="preserve"> injected i</w:t>
      </w:r>
      <w:r w:rsidRPr="00D30BC1">
        <w:rPr>
          <w:rFonts w:ascii="Arial" w:hAnsi="Arial" w:cs="Arial"/>
          <w:sz w:val="20"/>
        </w:rPr>
        <w:t>n future periods including that portion of the costs and revenues accruing to the entity.</w:t>
      </w:r>
    </w:p>
    <w:p w14:paraId="51958E1A" w14:textId="77777777" w:rsidR="006B202E" w:rsidRPr="00D30BC1" w:rsidRDefault="006B202E" w:rsidP="006B202E">
      <w:pPr>
        <w:numPr>
          <w:ilvl w:val="0"/>
          <w:numId w:val="33"/>
        </w:numPr>
        <w:tabs>
          <w:tab w:val="clear" w:pos="720"/>
        </w:tabs>
        <w:autoSpaceDE w:val="0"/>
        <w:autoSpaceDN w:val="0"/>
        <w:adjustRightInd w:val="0"/>
        <w:ind w:left="360"/>
        <w:jc w:val="both"/>
        <w:rPr>
          <w:rFonts w:ascii="Arial" w:hAnsi="Arial" w:cs="Arial"/>
          <w:sz w:val="20"/>
        </w:rPr>
      </w:pPr>
      <w:r w:rsidRPr="00D30BC1">
        <w:rPr>
          <w:rFonts w:ascii="Arial" w:hAnsi="Arial" w:cs="Arial"/>
          <w:sz w:val="20"/>
        </w:rPr>
        <w:t xml:space="preserve">Future projected </w:t>
      </w:r>
      <w:r>
        <w:rPr>
          <w:rFonts w:ascii="Arial" w:hAnsi="Arial" w:cs="Arial"/>
          <w:sz w:val="20"/>
        </w:rPr>
        <w:t>storage</w:t>
      </w:r>
      <w:r w:rsidRPr="00D30BC1">
        <w:rPr>
          <w:rFonts w:ascii="Arial" w:hAnsi="Arial" w:cs="Arial"/>
          <w:sz w:val="20"/>
        </w:rPr>
        <w:t xml:space="preserve"> and revenue related taxes and royalties expected to be paid by the entity.</w:t>
      </w:r>
    </w:p>
    <w:p w14:paraId="717958A7" w14:textId="77777777" w:rsidR="006B202E" w:rsidRPr="00D30BC1" w:rsidRDefault="006B202E" w:rsidP="006B202E">
      <w:pPr>
        <w:numPr>
          <w:ilvl w:val="0"/>
          <w:numId w:val="33"/>
        </w:numPr>
        <w:tabs>
          <w:tab w:val="clear" w:pos="720"/>
        </w:tabs>
        <w:autoSpaceDE w:val="0"/>
        <w:autoSpaceDN w:val="0"/>
        <w:adjustRightInd w:val="0"/>
        <w:ind w:left="360"/>
        <w:jc w:val="both"/>
        <w:rPr>
          <w:rFonts w:ascii="Arial" w:hAnsi="Arial" w:cs="Arial"/>
          <w:sz w:val="20"/>
        </w:rPr>
      </w:pPr>
      <w:r w:rsidRPr="00D30BC1">
        <w:rPr>
          <w:rFonts w:ascii="Arial" w:hAnsi="Arial" w:cs="Arial"/>
          <w:sz w:val="20"/>
        </w:rPr>
        <w:t>A project life that is limited to the period of entitlement or reasonable expectation thereof.</w:t>
      </w:r>
    </w:p>
    <w:p w14:paraId="574AFD5F" w14:textId="77777777" w:rsidR="006B202E" w:rsidRPr="00D30BC1" w:rsidRDefault="006B202E" w:rsidP="006B202E">
      <w:pPr>
        <w:numPr>
          <w:ilvl w:val="0"/>
          <w:numId w:val="33"/>
        </w:numPr>
        <w:tabs>
          <w:tab w:val="clear" w:pos="720"/>
        </w:tabs>
        <w:ind w:left="360"/>
        <w:jc w:val="both"/>
        <w:rPr>
          <w:rFonts w:ascii="Arial" w:hAnsi="Arial" w:cs="Arial"/>
          <w:sz w:val="20"/>
        </w:rPr>
      </w:pPr>
      <w:r w:rsidRPr="00D30BC1">
        <w:rPr>
          <w:rFonts w:ascii="Arial" w:hAnsi="Arial" w:cs="Arial"/>
          <w:sz w:val="20"/>
        </w:rPr>
        <w:t xml:space="preserve">The application of an appropriate discount rate that reasonably reflects the weighted average cost of capital </w:t>
      </w:r>
      <w:r w:rsidRPr="00D30BC1">
        <w:rPr>
          <w:rFonts w:ascii="Arial" w:hAnsi="Arial" w:cs="Arial"/>
          <w:sz w:val="20"/>
          <w:szCs w:val="20"/>
        </w:rPr>
        <w:t xml:space="preserve">or the minimum acceptable </w:t>
      </w:r>
      <w:r w:rsidRPr="00D30BC1">
        <w:rPr>
          <w:rFonts w:ascii="Arial" w:hAnsi="Arial" w:cs="Arial"/>
          <w:sz w:val="20"/>
        </w:rPr>
        <w:t>rate of return applicable to the entity at the time of the evaluation.</w:t>
      </w:r>
    </w:p>
    <w:p w14:paraId="72E70558" w14:textId="77777777" w:rsidR="006B202E" w:rsidRPr="00D30BC1" w:rsidRDefault="006B202E" w:rsidP="00D30BC1">
      <w:pPr>
        <w:pStyle w:val="CommentText"/>
        <w:rPr>
          <w:rFonts w:ascii="Arial" w:hAnsi="Arial" w:cs="Arial"/>
          <w:szCs w:val="24"/>
        </w:rPr>
      </w:pPr>
    </w:p>
    <w:p w14:paraId="23C4E706" w14:textId="77777777" w:rsidR="006B202E" w:rsidRPr="00D30BC1" w:rsidRDefault="006B202E" w:rsidP="00D30BC1">
      <w:pPr>
        <w:pStyle w:val="Footer"/>
        <w:tabs>
          <w:tab w:val="clear" w:pos="4320"/>
          <w:tab w:val="clear" w:pos="8640"/>
        </w:tabs>
        <w:jc w:val="both"/>
        <w:rPr>
          <w:rFonts w:ascii="Arial" w:hAnsi="Arial" w:cs="Arial"/>
          <w:strike/>
          <w:sz w:val="20"/>
        </w:rPr>
      </w:pPr>
      <w:r w:rsidRPr="00D30BC1">
        <w:rPr>
          <w:rFonts w:ascii="Arial" w:hAnsi="Arial" w:cs="Arial"/>
          <w:sz w:val="20"/>
        </w:rPr>
        <w:t xml:space="preserve">While each organization may define specific investment criteria, a project is generally considered to be </w:t>
      </w:r>
      <w:r w:rsidRPr="00D30BC1">
        <w:rPr>
          <w:rFonts w:cs="Arial"/>
          <w:sz w:val="18"/>
        </w:rPr>
        <w:t>“</w:t>
      </w:r>
      <w:r w:rsidRPr="00D30BC1">
        <w:rPr>
          <w:rFonts w:ascii="Arial" w:hAnsi="Arial" w:cs="Arial"/>
          <w:sz w:val="20"/>
        </w:rPr>
        <w:t>economic</w:t>
      </w:r>
      <w:r w:rsidRPr="00D30BC1">
        <w:rPr>
          <w:rFonts w:cs="Arial"/>
          <w:sz w:val="18"/>
        </w:rPr>
        <w:t>”</w:t>
      </w:r>
      <w:r w:rsidRPr="00D30BC1">
        <w:rPr>
          <w:rFonts w:ascii="Arial" w:hAnsi="Arial" w:cs="Arial"/>
          <w:sz w:val="20"/>
        </w:rPr>
        <w:t xml:space="preserve"> if its </w:t>
      </w:r>
      <w:r w:rsidRPr="00D30BC1">
        <w:rPr>
          <w:rFonts w:cs="Arial"/>
          <w:sz w:val="18"/>
        </w:rPr>
        <w:t>“</w:t>
      </w:r>
      <w:r w:rsidRPr="00D30BC1">
        <w:rPr>
          <w:rFonts w:ascii="Arial" w:hAnsi="Arial" w:cs="Arial"/>
          <w:sz w:val="20"/>
        </w:rPr>
        <w:t>best estimate</w:t>
      </w:r>
      <w:r w:rsidRPr="00D30BC1">
        <w:rPr>
          <w:rFonts w:cs="Arial"/>
          <w:sz w:val="18"/>
        </w:rPr>
        <w:t>”</w:t>
      </w:r>
      <w:r w:rsidRPr="00D30BC1">
        <w:rPr>
          <w:rFonts w:ascii="Arial" w:hAnsi="Arial" w:cs="Arial"/>
          <w:sz w:val="20"/>
        </w:rPr>
        <w:t xml:space="preserve"> case has a positive net present value under the organization</w:t>
      </w:r>
      <w:r w:rsidRPr="00D30BC1">
        <w:rPr>
          <w:rFonts w:cs="Arial"/>
          <w:sz w:val="18"/>
        </w:rPr>
        <w:t>’</w:t>
      </w:r>
      <w:r w:rsidRPr="00D30BC1">
        <w:rPr>
          <w:rFonts w:ascii="Arial" w:hAnsi="Arial" w:cs="Arial"/>
          <w:sz w:val="20"/>
        </w:rPr>
        <w:t xml:space="preserve">s standard discount rate, or if at least has a positive undiscounted cash flow. </w:t>
      </w:r>
    </w:p>
    <w:p w14:paraId="53DF93F1" w14:textId="77777777" w:rsidR="006B202E" w:rsidRPr="00D30BC1" w:rsidRDefault="006B202E" w:rsidP="00D30BC1">
      <w:pPr>
        <w:pStyle w:val="CommentText"/>
        <w:rPr>
          <w:rFonts w:ascii="Arial" w:hAnsi="Arial" w:cs="Arial"/>
          <w:szCs w:val="24"/>
        </w:rPr>
      </w:pPr>
    </w:p>
    <w:p w14:paraId="433B5852" w14:textId="77777777" w:rsidR="006B202E" w:rsidRPr="00D30BC1" w:rsidRDefault="006B202E" w:rsidP="00D30BC1">
      <w:pPr>
        <w:pStyle w:val="Heading8"/>
        <w:rPr>
          <w:u w:val="single"/>
        </w:rPr>
      </w:pPr>
      <w:r w:rsidRPr="00D30BC1">
        <w:t xml:space="preserve">3.1.2 </w:t>
      </w:r>
      <w:r w:rsidRPr="00D30BC1">
        <w:tab/>
        <w:t>Economic Criteria</w:t>
      </w:r>
      <w:r w:rsidRPr="00D30BC1">
        <w:rPr>
          <w:u w:val="single"/>
        </w:rPr>
        <w:t xml:space="preserve">  </w:t>
      </w:r>
    </w:p>
    <w:p w14:paraId="56B81E79" w14:textId="77777777" w:rsidR="006B202E" w:rsidRPr="00D30BC1" w:rsidRDefault="006B202E" w:rsidP="00D30BC1">
      <w:pPr>
        <w:pStyle w:val="CommentText"/>
        <w:rPr>
          <w:rFonts w:ascii="Arial" w:hAnsi="Arial" w:cs="Arial"/>
          <w:szCs w:val="24"/>
        </w:rPr>
      </w:pPr>
    </w:p>
    <w:p w14:paraId="7075FC3E" w14:textId="77777777" w:rsidR="006B202E" w:rsidRPr="00D30BC1" w:rsidRDefault="006B202E" w:rsidP="00D30BC1">
      <w:pPr>
        <w:pStyle w:val="BodyText"/>
        <w:jc w:val="both"/>
      </w:pPr>
      <w:r w:rsidRPr="00D30BC1">
        <w:t>Evaluators must clearly identify the assumpt</w:t>
      </w:r>
      <w:r w:rsidR="00BF5934">
        <w:t>ions on commercial conditions us</w:t>
      </w:r>
      <w:r w:rsidRPr="00D30BC1">
        <w:t xml:space="preserve">ed in the evaluation and must document the basis for these assumptions. </w:t>
      </w:r>
    </w:p>
    <w:p w14:paraId="795AD320" w14:textId="77777777" w:rsidR="006B202E" w:rsidRPr="00D30BC1" w:rsidRDefault="006B202E" w:rsidP="00D30BC1">
      <w:pPr>
        <w:pStyle w:val="BodyText"/>
        <w:jc w:val="both"/>
      </w:pPr>
    </w:p>
    <w:p w14:paraId="2C627587" w14:textId="77777777" w:rsidR="006B202E" w:rsidRPr="00D30BC1" w:rsidRDefault="006B202E" w:rsidP="00D30BC1">
      <w:pPr>
        <w:pStyle w:val="BodyText"/>
        <w:jc w:val="both"/>
      </w:pPr>
      <w:r w:rsidRPr="00D30BC1">
        <w:t>The economic evaluation underlying the investment decision is based on the entity</w:t>
      </w:r>
      <w:r w:rsidRPr="00D30BC1">
        <w:rPr>
          <w:rFonts w:ascii="Times New Roman" w:hAnsi="Times New Roman"/>
          <w:sz w:val="18"/>
        </w:rPr>
        <w:t>’</w:t>
      </w:r>
      <w:r w:rsidRPr="00D30BC1">
        <w:t>s reasonable forecast of future conditions, including costs</w:t>
      </w:r>
      <w:r>
        <w:t>, prices, subsidies and tax credits of the project or related project (e.g. an industrial plant, power generation or a hydrocarbon producing project)</w:t>
      </w:r>
      <w:r w:rsidRPr="00D30BC1">
        <w:t xml:space="preserve">, which will exist during the life of the project (forecast case). Such forecasts are based on projected changes to current conditions; SPE defines current conditions as the average of those existing during the previous 12 months. </w:t>
      </w:r>
    </w:p>
    <w:p w14:paraId="58437C1B" w14:textId="77777777" w:rsidR="006B202E" w:rsidRPr="00D30BC1" w:rsidRDefault="006B202E" w:rsidP="00D30BC1">
      <w:pPr>
        <w:pStyle w:val="NormalWeb"/>
        <w:jc w:val="both"/>
      </w:pPr>
      <w:r w:rsidRPr="00D30BC1">
        <w:rPr>
          <w:color w:val="auto"/>
        </w:rPr>
        <w:t>Alternative economic scenarios are considered in the decision process and, in some cases, to supplement reporting requirements. Evaluators may examine a case in which current conditions</w:t>
      </w:r>
      <w:r w:rsidRPr="00D30BC1">
        <w:t xml:space="preserve"> are held constant (no inflation or deflation) throughout the project life (constant case).  </w:t>
      </w:r>
    </w:p>
    <w:p w14:paraId="2FFCFD43" w14:textId="77777777" w:rsidR="006B202E" w:rsidRPr="007973BE" w:rsidRDefault="006B202E" w:rsidP="00D30BC1">
      <w:pPr>
        <w:pStyle w:val="NormalWeb"/>
        <w:jc w:val="both"/>
        <w:rPr>
          <w:i/>
          <w:iCs/>
        </w:rPr>
      </w:pPr>
      <w:r w:rsidRPr="00D30BC1">
        <w:t xml:space="preserve">Evaluations may be modified to accommodate </w:t>
      </w:r>
      <w:r w:rsidRPr="00D30BC1">
        <w:rPr>
          <w:color w:val="auto"/>
        </w:rPr>
        <w:t>criteria imposed by regulatory agencies regarding external disclosures. For example, t</w:t>
      </w:r>
      <w:r w:rsidRPr="00D30BC1">
        <w:t xml:space="preserve">hese criteria may include a specific requirement that, if the </w:t>
      </w:r>
      <w:r w:rsidRPr="007973BE">
        <w:t xml:space="preserve">storage resources were confined to the technically Proved </w:t>
      </w:r>
      <w:r w:rsidR="007973BE" w:rsidRPr="007973BE">
        <w:t>Capacity</w:t>
      </w:r>
      <w:r w:rsidRPr="007973BE">
        <w:t xml:space="preserve"> estimate, the constant case should still generate a positive cash flow. External reporting requirements may also specify alternative guidance on current conditions (for example, year-end costs and prices)</w:t>
      </w:r>
      <w:r w:rsidRPr="007973BE">
        <w:rPr>
          <w:i/>
          <w:iCs/>
        </w:rPr>
        <w:t xml:space="preserve">. </w:t>
      </w:r>
    </w:p>
    <w:p w14:paraId="178CCAEF" w14:textId="77777777" w:rsidR="006B202E" w:rsidRPr="007973BE" w:rsidRDefault="006B202E" w:rsidP="00D30BC1">
      <w:pPr>
        <w:pStyle w:val="NormalWeb"/>
        <w:jc w:val="both"/>
      </w:pPr>
      <w:r w:rsidRPr="007973BE">
        <w:t xml:space="preserve">There may be circumstances in which the project meets criteria to be classified as </w:t>
      </w:r>
      <w:r w:rsidR="007973BE" w:rsidRPr="007973BE">
        <w:t>Capacity</w:t>
      </w:r>
      <w:r w:rsidRPr="007973BE">
        <w:t xml:space="preserve"> using the forecast case but does not meet the external criteria for Proved </w:t>
      </w:r>
      <w:r w:rsidR="007973BE" w:rsidRPr="007973BE">
        <w:t>Capacity</w:t>
      </w:r>
      <w:r w:rsidRPr="007973BE">
        <w:t xml:space="preserve">. In these specific circumstances, the entity may record 2P and 3P estimates without separately recording Proved. As costs are incurred and development proceeds, the low estimate may eventually satisfy external requirements, and Proved </w:t>
      </w:r>
      <w:r w:rsidR="007973BE" w:rsidRPr="007973BE">
        <w:t xml:space="preserve">Capacity </w:t>
      </w:r>
      <w:r w:rsidRPr="007973BE">
        <w:t>can then be assigned.</w:t>
      </w:r>
    </w:p>
    <w:p w14:paraId="0F51F344" w14:textId="77777777" w:rsidR="006B202E" w:rsidRPr="00D30BC1" w:rsidRDefault="006B202E" w:rsidP="00D30BC1">
      <w:pPr>
        <w:pStyle w:val="BodyText"/>
        <w:jc w:val="both"/>
        <w:rPr>
          <w:strike/>
        </w:rPr>
      </w:pPr>
      <w:r w:rsidRPr="007973BE">
        <w:t xml:space="preserve">While SPE guidelines do not require that project financing be confirmed prior to classifying projects as </w:t>
      </w:r>
      <w:r w:rsidR="007973BE" w:rsidRPr="007973BE">
        <w:t>Capacity</w:t>
      </w:r>
      <w:r w:rsidRPr="007973BE">
        <w:t>, this may be another external requirement. In many cases, loans are conditional upon the same criteria as above; that is, the project (or combined CO</w:t>
      </w:r>
      <w:r w:rsidRPr="007973BE">
        <w:rPr>
          <w:vertAlign w:val="subscript"/>
        </w:rPr>
        <w:t>2</w:t>
      </w:r>
      <w:r w:rsidRPr="007973BE">
        <w:t xml:space="preserve"> </w:t>
      </w:r>
      <w:r w:rsidR="00207D07">
        <w:t>generating</w:t>
      </w:r>
      <w:r w:rsidRPr="007973BE">
        <w:t xml:space="preserve"> and storage project) must be economic based on Proved </w:t>
      </w:r>
      <w:r w:rsidR="007973BE" w:rsidRPr="007973BE">
        <w:t xml:space="preserve">Capacity </w:t>
      </w:r>
      <w:r w:rsidRPr="007973BE">
        <w:t xml:space="preserve">only.  In general, if there is not a reasonable expectation that loans or other forms of financing (e.g., farm-outs) can be arranged such that the development will be initiated within a reasonable timeframe, then the project should be classified as Contingent Resources. If financing is reasonably expected but not yet confirmed, the project may be classified as </w:t>
      </w:r>
      <w:r w:rsidR="007973BE" w:rsidRPr="007973BE">
        <w:t>Capacity</w:t>
      </w:r>
      <w:r w:rsidRPr="007973BE">
        <w:t xml:space="preserve">, but no Proved </w:t>
      </w:r>
      <w:r w:rsidR="007973BE" w:rsidRPr="007973BE">
        <w:t xml:space="preserve">Capacity </w:t>
      </w:r>
      <w:r w:rsidRPr="007973BE">
        <w:t>may be reported as above.</w:t>
      </w:r>
      <w:r w:rsidRPr="00D30BC1">
        <w:t xml:space="preserve"> </w:t>
      </w:r>
    </w:p>
    <w:p w14:paraId="55EE3345" w14:textId="77777777" w:rsidR="006B202E" w:rsidRPr="00D91999" w:rsidRDefault="006B202E" w:rsidP="00F06523"/>
    <w:p w14:paraId="2E31C76B" w14:textId="77777777" w:rsidR="006B202E" w:rsidRPr="00D30BC1" w:rsidRDefault="006B202E" w:rsidP="00D30BC1"/>
    <w:p w14:paraId="46BC162F" w14:textId="77777777" w:rsidR="006B202E" w:rsidRPr="00D30BC1" w:rsidRDefault="006B202E" w:rsidP="00D30BC1">
      <w:pPr>
        <w:pStyle w:val="Heading8"/>
      </w:pPr>
      <w:r w:rsidRPr="00D30BC1">
        <w:t xml:space="preserve">3.1.3 </w:t>
      </w:r>
      <w:r w:rsidRPr="00D30BC1">
        <w:tab/>
        <w:t xml:space="preserve">Economic Limit </w:t>
      </w:r>
    </w:p>
    <w:p w14:paraId="38ABD966" w14:textId="77777777" w:rsidR="006B202E" w:rsidRPr="00D30BC1" w:rsidRDefault="006B202E" w:rsidP="00D30BC1">
      <w:pPr>
        <w:pStyle w:val="CommentText"/>
        <w:rPr>
          <w:rFonts w:ascii="Arial" w:hAnsi="Arial" w:cs="Arial"/>
          <w:szCs w:val="24"/>
        </w:rPr>
      </w:pPr>
    </w:p>
    <w:p w14:paraId="33BFED1B" w14:textId="77777777" w:rsidR="006B202E" w:rsidRPr="00D30BC1" w:rsidRDefault="006B202E" w:rsidP="00D30BC1">
      <w:pPr>
        <w:jc w:val="both"/>
        <w:rPr>
          <w:rFonts w:ascii="Arial" w:hAnsi="Arial" w:cs="Arial"/>
          <w:sz w:val="20"/>
        </w:rPr>
      </w:pPr>
      <w:r w:rsidRPr="00D30BC1">
        <w:rPr>
          <w:rFonts w:ascii="Arial" w:hAnsi="Arial" w:cs="Arial"/>
          <w:sz w:val="20"/>
        </w:rPr>
        <w:t xml:space="preserve">Economic limit is defined as the </w:t>
      </w:r>
      <w:r>
        <w:rPr>
          <w:rFonts w:ascii="Arial" w:hAnsi="Arial" w:cs="Arial"/>
          <w:sz w:val="20"/>
        </w:rPr>
        <w:t>injection</w:t>
      </w:r>
      <w:r w:rsidRPr="00D30BC1">
        <w:rPr>
          <w:rFonts w:ascii="Arial" w:hAnsi="Arial" w:cs="Arial"/>
          <w:sz w:val="20"/>
        </w:rPr>
        <w:t xml:space="preserve"> rate beyond which the net operating cash flows from a project, which may be an individual well, lease, entire</w:t>
      </w:r>
      <w:r>
        <w:rPr>
          <w:rFonts w:ascii="Arial" w:hAnsi="Arial" w:cs="Arial"/>
          <w:sz w:val="20"/>
        </w:rPr>
        <w:t xml:space="preserve"> storage site</w:t>
      </w:r>
      <w:r w:rsidRPr="00D30BC1">
        <w:rPr>
          <w:rFonts w:ascii="Arial" w:hAnsi="Arial" w:cs="Arial"/>
          <w:sz w:val="20"/>
        </w:rPr>
        <w:t xml:space="preserve">, </w:t>
      </w:r>
      <w:r w:rsidRPr="004A36C6">
        <w:rPr>
          <w:rFonts w:ascii="Arial" w:hAnsi="Arial" w:cs="Arial"/>
          <w:sz w:val="20"/>
          <w:szCs w:val="20"/>
        </w:rPr>
        <w:t>or related project (e.g. an industrial plant, power generation or a hydrocarbon producing project),</w:t>
      </w:r>
      <w:r>
        <w:rPr>
          <w:rFonts w:ascii="Arial" w:hAnsi="Arial" w:cs="Arial"/>
          <w:sz w:val="20"/>
        </w:rPr>
        <w:t xml:space="preserve"> </w:t>
      </w:r>
      <w:r w:rsidRPr="00D30BC1">
        <w:rPr>
          <w:rFonts w:ascii="Arial" w:hAnsi="Arial" w:cs="Arial"/>
          <w:sz w:val="20"/>
        </w:rPr>
        <w:t>are negative, a point in time that defines the project</w:t>
      </w:r>
      <w:r w:rsidRPr="00D30BC1">
        <w:rPr>
          <w:rFonts w:cs="Arial"/>
          <w:sz w:val="18"/>
        </w:rPr>
        <w:t>’</w:t>
      </w:r>
      <w:r w:rsidRPr="00D30BC1">
        <w:rPr>
          <w:rFonts w:ascii="Arial" w:hAnsi="Arial" w:cs="Arial"/>
          <w:sz w:val="20"/>
        </w:rPr>
        <w:t xml:space="preserve">s economic life. Operating costs should be based on the same type of projections as used in price forecasting. Operating costs should include only those costs that are incremental to the project for which the economic limit is being calculated (i.e., only those cash costs that will actually be eliminated if project </w:t>
      </w:r>
      <w:r>
        <w:rPr>
          <w:rFonts w:ascii="Arial" w:hAnsi="Arial" w:cs="Arial"/>
          <w:sz w:val="20"/>
        </w:rPr>
        <w:t>injection</w:t>
      </w:r>
      <w:r w:rsidRPr="00D30BC1">
        <w:rPr>
          <w:rFonts w:ascii="Arial" w:hAnsi="Arial" w:cs="Arial"/>
          <w:sz w:val="20"/>
        </w:rPr>
        <w:t xml:space="preserve"> ceases should be considered in the calculation of economic limit). Operating costs should include fixed property-specific overhead charges if these are actual incremental costs attributable to the project and any </w:t>
      </w:r>
      <w:r>
        <w:rPr>
          <w:rFonts w:ascii="Arial" w:hAnsi="Arial" w:cs="Arial"/>
          <w:sz w:val="20"/>
        </w:rPr>
        <w:t>injection</w:t>
      </w:r>
      <w:r w:rsidRPr="00D30BC1">
        <w:rPr>
          <w:rFonts w:ascii="Arial" w:hAnsi="Arial" w:cs="Arial"/>
          <w:sz w:val="20"/>
        </w:rPr>
        <w:t xml:space="preserve"> and property taxes but, for purposes of calculating economic limit, should exclude depreciation, abandonment and reclamation costs, and income tax, as well as any overhead above that required to operate the subject property itself. Operating costs may be reduced, and thus project life extended, by various cost-reduction and revenue-enhancement approaches, such as sharing of </w:t>
      </w:r>
      <w:r>
        <w:rPr>
          <w:rFonts w:ascii="Arial" w:hAnsi="Arial" w:cs="Arial"/>
          <w:sz w:val="20"/>
        </w:rPr>
        <w:t>injection</w:t>
      </w:r>
      <w:r w:rsidRPr="00D30BC1">
        <w:rPr>
          <w:rFonts w:ascii="Arial" w:hAnsi="Arial" w:cs="Arial"/>
          <w:sz w:val="20"/>
        </w:rPr>
        <w:t xml:space="preserve"> facilities, pooling </w:t>
      </w:r>
      <w:r>
        <w:rPr>
          <w:rFonts w:ascii="Arial" w:hAnsi="Arial" w:cs="Arial"/>
          <w:sz w:val="20"/>
        </w:rPr>
        <w:t xml:space="preserve">or </w:t>
      </w:r>
      <w:r w:rsidRPr="00D30BC1">
        <w:rPr>
          <w:rFonts w:ascii="Arial" w:hAnsi="Arial" w:cs="Arial"/>
          <w:sz w:val="20"/>
        </w:rPr>
        <w:t>maintenance contracts</w:t>
      </w:r>
      <w:r w:rsidR="000C6D7B">
        <w:rPr>
          <w:rFonts w:ascii="Arial" w:hAnsi="Arial" w:cs="Arial"/>
          <w:sz w:val="20"/>
        </w:rPr>
        <w:t>.</w:t>
      </w:r>
    </w:p>
    <w:p w14:paraId="64F7F07C" w14:textId="77777777" w:rsidR="006B202E" w:rsidRPr="00D30BC1" w:rsidRDefault="006B202E" w:rsidP="00D30BC1">
      <w:pPr>
        <w:rPr>
          <w:i/>
          <w:iCs/>
          <w:sz w:val="20"/>
        </w:rPr>
      </w:pPr>
    </w:p>
    <w:p w14:paraId="16D1B06C" w14:textId="77777777" w:rsidR="006B202E" w:rsidRPr="00D30BC1" w:rsidRDefault="006B202E" w:rsidP="00D30BC1">
      <w:pPr>
        <w:pStyle w:val="BodyText3"/>
        <w:jc w:val="both"/>
        <w:rPr>
          <w:i w:val="0"/>
          <w:iCs w:val="0"/>
        </w:rPr>
      </w:pPr>
      <w:r w:rsidRPr="00D30BC1">
        <w:rPr>
          <w:i w:val="0"/>
          <w:iCs w:val="0"/>
        </w:rPr>
        <w:t>Interim negative project net cash flows may be accommodated in short periods of low prices</w:t>
      </w:r>
      <w:r>
        <w:rPr>
          <w:i w:val="0"/>
          <w:iCs w:val="0"/>
        </w:rPr>
        <w:t>, tax credits</w:t>
      </w:r>
      <w:r w:rsidRPr="00D30BC1">
        <w:rPr>
          <w:i w:val="0"/>
          <w:iCs w:val="0"/>
        </w:rPr>
        <w:t xml:space="preserve"> or major operational problems, provided that the longer-term forecasts must still indicate positive economics. </w:t>
      </w:r>
    </w:p>
    <w:p w14:paraId="0569DDE1" w14:textId="77777777" w:rsidR="006B202E" w:rsidRPr="00D30BC1" w:rsidRDefault="006B202E" w:rsidP="00D30BC1">
      <w:pPr>
        <w:pStyle w:val="Footer"/>
        <w:tabs>
          <w:tab w:val="clear" w:pos="4320"/>
          <w:tab w:val="clear" w:pos="8640"/>
        </w:tabs>
      </w:pPr>
    </w:p>
    <w:p w14:paraId="4971AE85" w14:textId="77777777" w:rsidR="006B202E" w:rsidRPr="00D30BC1" w:rsidRDefault="006B202E" w:rsidP="00D30BC1">
      <w:pPr>
        <w:pStyle w:val="Heading2"/>
      </w:pPr>
      <w:r w:rsidRPr="00D30BC1">
        <w:t>3.2</w:t>
      </w:r>
      <w:r w:rsidRPr="00D30BC1">
        <w:tab/>
      </w:r>
      <w:r>
        <w:t>Injection</w:t>
      </w:r>
      <w:r w:rsidRPr="00D30BC1">
        <w:t xml:space="preserve"> Measurement</w:t>
      </w:r>
    </w:p>
    <w:p w14:paraId="2940FD7C" w14:textId="77777777" w:rsidR="006B202E" w:rsidRPr="00D30BC1" w:rsidRDefault="006B202E" w:rsidP="00D30BC1">
      <w:pPr>
        <w:pStyle w:val="CommentText"/>
        <w:rPr>
          <w:rFonts w:ascii="Arial" w:hAnsi="Arial" w:cs="Arial"/>
          <w:szCs w:val="24"/>
        </w:rPr>
      </w:pPr>
    </w:p>
    <w:p w14:paraId="3D49375E" w14:textId="115681A5" w:rsidR="006B202E" w:rsidRPr="00D30BC1" w:rsidRDefault="006B202E" w:rsidP="00D30BC1">
      <w:pPr>
        <w:pStyle w:val="BodyText"/>
        <w:jc w:val="both"/>
      </w:pPr>
      <w:r w:rsidRPr="00D30BC1">
        <w:t xml:space="preserve">In general, </w:t>
      </w:r>
      <w:r>
        <w:t xml:space="preserve">the </w:t>
      </w:r>
      <w:r w:rsidR="00686DEB">
        <w:t>CO</w:t>
      </w:r>
      <w:r w:rsidR="00686DEB" w:rsidRPr="00686DEB">
        <w:rPr>
          <w:vertAlign w:val="subscript"/>
        </w:rPr>
        <w:t>2</w:t>
      </w:r>
      <w:r w:rsidR="00686DEB">
        <w:t xml:space="preserve"> </w:t>
      </w:r>
      <w:r>
        <w:t>stor</w:t>
      </w:r>
      <w:r w:rsidR="00686DEB">
        <w:t>ed</w:t>
      </w:r>
      <w:r>
        <w:t>, as measured</w:t>
      </w:r>
      <w:r w:rsidRPr="00D30BC1">
        <w:t xml:space="preserve"> according to </w:t>
      </w:r>
      <w:r>
        <w:t>injection</w:t>
      </w:r>
      <w:r w:rsidRPr="00D30BC1">
        <w:t xml:space="preserve"> specifications at a defined </w:t>
      </w:r>
      <w:r w:rsidRPr="000C6D7B">
        <w:t>Reference Point, provides</w:t>
      </w:r>
      <w:r w:rsidRPr="00D30BC1">
        <w:t xml:space="preserve"> the basis for </w:t>
      </w:r>
      <w:r>
        <w:t>injection</w:t>
      </w:r>
      <w:r w:rsidRPr="00D30BC1">
        <w:t xml:space="preserve"> quantities and resources estimates. The following operational issues should be considered in defining and measuring </w:t>
      </w:r>
      <w:r>
        <w:t>injection</w:t>
      </w:r>
      <w:r w:rsidRPr="00D30BC1">
        <w:t xml:space="preserve">. While referenced specifically to </w:t>
      </w:r>
      <w:r w:rsidR="00686DEB">
        <w:t>Capacity</w:t>
      </w:r>
      <w:r w:rsidRPr="00D30BC1">
        <w:t xml:space="preserve">, the same logic would be applied to projects forecast to develop </w:t>
      </w:r>
      <w:r w:rsidRPr="00686DEB">
        <w:t>Contingent and Prospective Resources</w:t>
      </w:r>
      <w:r w:rsidRPr="00D30BC1">
        <w:t xml:space="preserve"> conditional on discovery and development. </w:t>
      </w:r>
      <w:r w:rsidRPr="00E81095">
        <w:rPr>
          <w:highlight w:val="red"/>
        </w:rPr>
        <w:t xml:space="preserve">(Additional detail on operational issues that impact resources estimation can be found in the </w:t>
      </w:r>
      <w:r w:rsidRPr="00E81095">
        <w:rPr>
          <w:rFonts w:ascii="Times New Roman" w:hAnsi="Times New Roman"/>
          <w:sz w:val="18"/>
          <w:highlight w:val="red"/>
        </w:rPr>
        <w:t>“</w:t>
      </w:r>
      <w:r w:rsidRPr="00E81095">
        <w:rPr>
          <w:highlight w:val="red"/>
        </w:rPr>
        <w:t>2001 Supplemental Guidelines,</w:t>
      </w:r>
      <w:r w:rsidRPr="00E81095">
        <w:rPr>
          <w:rFonts w:ascii="Times New Roman" w:hAnsi="Times New Roman"/>
          <w:sz w:val="18"/>
          <w:highlight w:val="red"/>
        </w:rPr>
        <w:t>”</w:t>
      </w:r>
      <w:r w:rsidRPr="00E81095">
        <w:rPr>
          <w:highlight w:val="red"/>
        </w:rPr>
        <w:t xml:space="preserve"> Chapter 3.)</w:t>
      </w:r>
    </w:p>
    <w:p w14:paraId="3CDDE944" w14:textId="088595F2" w:rsidR="006B202E" w:rsidRDefault="006B202E" w:rsidP="00D30BC1">
      <w:pPr>
        <w:rPr>
          <w:rFonts w:ascii="Arial" w:hAnsi="Arial" w:cs="Arial"/>
          <w:iCs/>
          <w:sz w:val="20"/>
        </w:rPr>
      </w:pPr>
    </w:p>
    <w:p w14:paraId="07D625EB" w14:textId="0184AD0F" w:rsidR="00C11359" w:rsidRPr="00C11359" w:rsidRDefault="00C11359" w:rsidP="00D30BC1">
      <w:pPr>
        <w:rPr>
          <w:rFonts w:ascii="Arial" w:hAnsi="Arial" w:cs="Arial"/>
          <w:iCs/>
          <w:sz w:val="20"/>
        </w:rPr>
      </w:pPr>
      <w:r>
        <w:rPr>
          <w:rFonts w:ascii="Arial" w:hAnsi="Arial" w:cs="Arial"/>
          <w:iCs/>
          <w:sz w:val="20"/>
        </w:rPr>
        <w:t>If reporting storage quantities (stored or storable) in units of volume, a standard pressure and temperature should be used and clearly stated with the volumetric estimate of CO</w:t>
      </w:r>
      <w:r w:rsidRPr="00C11359">
        <w:rPr>
          <w:rFonts w:ascii="Arial" w:hAnsi="Arial" w:cs="Arial"/>
          <w:iCs/>
          <w:sz w:val="20"/>
          <w:vertAlign w:val="subscript"/>
        </w:rPr>
        <w:t>2</w:t>
      </w:r>
      <w:r>
        <w:rPr>
          <w:rFonts w:ascii="Arial" w:hAnsi="Arial" w:cs="Arial"/>
          <w:iCs/>
          <w:sz w:val="20"/>
        </w:rPr>
        <w:t xml:space="preserve"> storage.</w:t>
      </w:r>
    </w:p>
    <w:p w14:paraId="284AA08F" w14:textId="77777777" w:rsidR="006B202E" w:rsidRPr="00D30BC1" w:rsidRDefault="006B202E" w:rsidP="00D30BC1">
      <w:pPr>
        <w:pStyle w:val="Heading8"/>
      </w:pPr>
      <w:r w:rsidRPr="00D30BC1">
        <w:t xml:space="preserve">3.2.1 </w:t>
      </w:r>
      <w:r w:rsidRPr="00D30BC1">
        <w:tab/>
        <w:t xml:space="preserve">Reference Point </w:t>
      </w:r>
    </w:p>
    <w:p w14:paraId="51FE5308" w14:textId="77777777" w:rsidR="006B202E" w:rsidRPr="00D30BC1" w:rsidRDefault="006B202E" w:rsidP="00D30BC1">
      <w:pPr>
        <w:pStyle w:val="CommentText"/>
        <w:rPr>
          <w:rFonts w:ascii="Arial" w:hAnsi="Arial" w:cs="Arial"/>
          <w:szCs w:val="24"/>
        </w:rPr>
      </w:pPr>
    </w:p>
    <w:p w14:paraId="24C445E1" w14:textId="77777777" w:rsidR="006B202E" w:rsidRPr="00373601" w:rsidRDefault="006B202E" w:rsidP="00D30BC1">
      <w:pPr>
        <w:jc w:val="both"/>
        <w:rPr>
          <w:rFonts w:ascii="Arial" w:hAnsi="Arial" w:cs="Arial"/>
          <w:sz w:val="20"/>
        </w:rPr>
      </w:pPr>
      <w:r w:rsidRPr="00686DEB">
        <w:rPr>
          <w:rFonts w:ascii="Arial" w:hAnsi="Arial" w:cs="Arial"/>
          <w:sz w:val="20"/>
        </w:rPr>
        <w:t>Reference Point is a def</w:t>
      </w:r>
      <w:r w:rsidR="00B10776">
        <w:rPr>
          <w:rFonts w:ascii="Arial" w:hAnsi="Arial" w:cs="Arial"/>
          <w:sz w:val="20"/>
        </w:rPr>
        <w:t>ined location(s)</w:t>
      </w:r>
      <w:r w:rsidRPr="00686DEB">
        <w:rPr>
          <w:rFonts w:ascii="Arial" w:hAnsi="Arial" w:cs="Arial"/>
          <w:sz w:val="20"/>
        </w:rPr>
        <w:t xml:space="preserve"> where the injected quantities are measured </w:t>
      </w:r>
      <w:r w:rsidR="00B10776">
        <w:rPr>
          <w:rFonts w:ascii="Arial" w:hAnsi="Arial" w:cs="Arial"/>
          <w:sz w:val="20"/>
        </w:rPr>
        <w:t xml:space="preserve">(metered) </w:t>
      </w:r>
      <w:r w:rsidRPr="00686DEB">
        <w:rPr>
          <w:rFonts w:ascii="Arial" w:hAnsi="Arial" w:cs="Arial"/>
          <w:sz w:val="20"/>
        </w:rPr>
        <w:t>or assessed. The Reference Point</w:t>
      </w:r>
      <w:r w:rsidRPr="00D30BC1">
        <w:rPr>
          <w:rFonts w:ascii="Arial" w:hAnsi="Arial" w:cs="Arial"/>
          <w:sz w:val="20"/>
        </w:rPr>
        <w:t xml:space="preserve"> is typically the point of </w:t>
      </w:r>
      <w:r>
        <w:rPr>
          <w:rFonts w:ascii="Arial" w:hAnsi="Arial" w:cs="Arial"/>
          <w:sz w:val="20"/>
        </w:rPr>
        <w:t xml:space="preserve">transfer from </w:t>
      </w:r>
      <w:r w:rsidR="00B10776">
        <w:rPr>
          <w:rFonts w:ascii="Arial" w:hAnsi="Arial" w:cs="Arial"/>
          <w:sz w:val="20"/>
        </w:rPr>
        <w:t xml:space="preserve">a </w:t>
      </w:r>
      <w:r>
        <w:rPr>
          <w:rFonts w:ascii="Arial" w:hAnsi="Arial" w:cs="Arial"/>
          <w:sz w:val="20"/>
        </w:rPr>
        <w:t>CO</w:t>
      </w:r>
      <w:r w:rsidRPr="00EE1769">
        <w:rPr>
          <w:rFonts w:ascii="Arial" w:hAnsi="Arial" w:cs="Arial"/>
          <w:sz w:val="20"/>
          <w:vertAlign w:val="subscript"/>
        </w:rPr>
        <w:t>2</w:t>
      </w:r>
      <w:r>
        <w:rPr>
          <w:rFonts w:ascii="Arial" w:hAnsi="Arial" w:cs="Arial"/>
          <w:sz w:val="20"/>
        </w:rPr>
        <w:t xml:space="preserve"> </w:t>
      </w:r>
      <w:r w:rsidR="00B10776">
        <w:rPr>
          <w:rFonts w:ascii="Arial" w:hAnsi="Arial" w:cs="Arial"/>
          <w:sz w:val="20"/>
        </w:rPr>
        <w:t>generator</w:t>
      </w:r>
      <w:r>
        <w:rPr>
          <w:rFonts w:ascii="Arial" w:hAnsi="Arial" w:cs="Arial"/>
          <w:sz w:val="20"/>
        </w:rPr>
        <w:t xml:space="preserve"> to either </w:t>
      </w:r>
      <w:r w:rsidR="00B10776">
        <w:rPr>
          <w:rFonts w:ascii="Arial" w:hAnsi="Arial" w:cs="Arial"/>
          <w:sz w:val="20"/>
        </w:rPr>
        <w:t>a</w:t>
      </w:r>
      <w:r w:rsidRPr="00D30BC1">
        <w:rPr>
          <w:rFonts w:ascii="Arial" w:hAnsi="Arial" w:cs="Arial"/>
          <w:sz w:val="20"/>
        </w:rPr>
        <w:t xml:space="preserve"> third part</w:t>
      </w:r>
      <w:r>
        <w:rPr>
          <w:rFonts w:ascii="Arial" w:hAnsi="Arial" w:cs="Arial"/>
          <w:sz w:val="20"/>
        </w:rPr>
        <w:t xml:space="preserve">y storage project, or </w:t>
      </w:r>
      <w:r w:rsidRPr="00D30BC1">
        <w:rPr>
          <w:rFonts w:ascii="Arial" w:hAnsi="Arial" w:cs="Arial"/>
          <w:sz w:val="20"/>
        </w:rPr>
        <w:t xml:space="preserve">to the </w:t>
      </w:r>
      <w:r>
        <w:rPr>
          <w:rFonts w:ascii="Arial" w:hAnsi="Arial" w:cs="Arial"/>
          <w:sz w:val="20"/>
        </w:rPr>
        <w:t>CO</w:t>
      </w:r>
      <w:r w:rsidRPr="00EE1769">
        <w:rPr>
          <w:rFonts w:ascii="Arial" w:hAnsi="Arial" w:cs="Arial"/>
          <w:sz w:val="20"/>
          <w:vertAlign w:val="subscript"/>
        </w:rPr>
        <w:t>2</w:t>
      </w:r>
      <w:r>
        <w:rPr>
          <w:rFonts w:ascii="Arial" w:hAnsi="Arial" w:cs="Arial"/>
          <w:sz w:val="20"/>
        </w:rPr>
        <w:t xml:space="preserve"> </w:t>
      </w:r>
      <w:r w:rsidR="00B10776">
        <w:rPr>
          <w:rFonts w:ascii="Arial" w:hAnsi="Arial" w:cs="Arial"/>
          <w:sz w:val="20"/>
        </w:rPr>
        <w:t>generator’s</w:t>
      </w:r>
      <w:r w:rsidRPr="00D30BC1">
        <w:rPr>
          <w:rFonts w:ascii="Arial" w:hAnsi="Arial" w:cs="Arial"/>
          <w:sz w:val="20"/>
        </w:rPr>
        <w:t xml:space="preserve"> </w:t>
      </w:r>
      <w:r>
        <w:rPr>
          <w:rFonts w:ascii="Arial" w:hAnsi="Arial" w:cs="Arial"/>
          <w:sz w:val="20"/>
        </w:rPr>
        <w:t>storage</w:t>
      </w:r>
      <w:r w:rsidRPr="00D30BC1">
        <w:rPr>
          <w:rFonts w:ascii="Arial" w:hAnsi="Arial" w:cs="Arial"/>
          <w:sz w:val="20"/>
        </w:rPr>
        <w:t xml:space="preserve"> operations. </w:t>
      </w:r>
      <w:r w:rsidR="00B10776">
        <w:rPr>
          <w:rFonts w:ascii="Arial" w:hAnsi="Arial" w:cs="Arial"/>
          <w:sz w:val="20"/>
        </w:rPr>
        <w:t>Metered</w:t>
      </w:r>
      <w:r>
        <w:rPr>
          <w:rFonts w:ascii="Arial" w:hAnsi="Arial" w:cs="Arial"/>
          <w:sz w:val="20"/>
        </w:rPr>
        <w:t xml:space="preserve"> injection</w:t>
      </w:r>
      <w:r w:rsidRPr="00D30BC1">
        <w:rPr>
          <w:rFonts w:ascii="Arial" w:hAnsi="Arial" w:cs="Arial"/>
          <w:sz w:val="20"/>
        </w:rPr>
        <w:t xml:space="preserve"> and estimated </w:t>
      </w:r>
      <w:r w:rsidR="00686DEB">
        <w:rPr>
          <w:rFonts w:ascii="Arial" w:hAnsi="Arial" w:cs="Arial"/>
          <w:sz w:val="20"/>
        </w:rPr>
        <w:t>Capacity</w:t>
      </w:r>
      <w:r w:rsidR="00EC13CF">
        <w:rPr>
          <w:rFonts w:ascii="Arial" w:hAnsi="Arial" w:cs="Arial"/>
          <w:sz w:val="20"/>
        </w:rPr>
        <w:t xml:space="preserve"> </w:t>
      </w:r>
      <w:r w:rsidRPr="00D30BC1">
        <w:rPr>
          <w:rFonts w:ascii="Arial" w:hAnsi="Arial" w:cs="Arial"/>
          <w:sz w:val="20"/>
        </w:rPr>
        <w:t xml:space="preserve">are normally measured and reported in terms of quantities crossing this point over the period of interest. </w:t>
      </w:r>
      <w:r>
        <w:rPr>
          <w:rFonts w:ascii="Arial" w:hAnsi="Arial" w:cs="Arial"/>
          <w:sz w:val="20"/>
        </w:rPr>
        <w:t>Furthermore, the CO</w:t>
      </w:r>
      <w:r>
        <w:rPr>
          <w:rFonts w:ascii="Arial" w:hAnsi="Arial" w:cs="Arial"/>
          <w:sz w:val="20"/>
          <w:vertAlign w:val="subscript"/>
        </w:rPr>
        <w:t>2</w:t>
      </w:r>
      <w:r>
        <w:rPr>
          <w:rFonts w:ascii="Arial" w:hAnsi="Arial" w:cs="Arial"/>
          <w:sz w:val="20"/>
        </w:rPr>
        <w:t xml:space="preserve"> injection stream should be </w:t>
      </w:r>
      <w:r w:rsidR="00686DEB">
        <w:rPr>
          <w:rFonts w:ascii="Arial" w:hAnsi="Arial" w:cs="Arial"/>
          <w:sz w:val="20"/>
        </w:rPr>
        <w:t>predominantly</w:t>
      </w:r>
      <w:r>
        <w:rPr>
          <w:rFonts w:ascii="Arial" w:hAnsi="Arial" w:cs="Arial"/>
          <w:sz w:val="20"/>
        </w:rPr>
        <w:t xml:space="preserve"> CO</w:t>
      </w:r>
      <w:r>
        <w:rPr>
          <w:rFonts w:ascii="Arial" w:hAnsi="Arial" w:cs="Arial"/>
          <w:sz w:val="20"/>
          <w:vertAlign w:val="subscript"/>
        </w:rPr>
        <w:t>2</w:t>
      </w:r>
      <w:r>
        <w:rPr>
          <w:rFonts w:ascii="Arial" w:hAnsi="Arial" w:cs="Arial"/>
          <w:sz w:val="20"/>
        </w:rPr>
        <w:t>.</w:t>
      </w:r>
    </w:p>
    <w:p w14:paraId="18B998C4" w14:textId="77777777" w:rsidR="006B202E" w:rsidRPr="00D30BC1" w:rsidRDefault="006B202E" w:rsidP="00D30BC1">
      <w:pPr>
        <w:pStyle w:val="CommentText"/>
        <w:jc w:val="both"/>
        <w:rPr>
          <w:rFonts w:ascii="Arial" w:hAnsi="Arial" w:cs="Arial"/>
          <w:szCs w:val="24"/>
        </w:rPr>
      </w:pPr>
    </w:p>
    <w:p w14:paraId="23264A62" w14:textId="2921C77C" w:rsidR="006B202E" w:rsidRDefault="006B202E" w:rsidP="00D30BC1">
      <w:pPr>
        <w:jc w:val="both"/>
        <w:rPr>
          <w:rFonts w:ascii="Arial" w:hAnsi="Arial" w:cs="Arial"/>
          <w:sz w:val="20"/>
        </w:rPr>
      </w:pPr>
      <w:r w:rsidRPr="00686DEB">
        <w:rPr>
          <w:rFonts w:ascii="Arial" w:hAnsi="Arial" w:cs="Arial"/>
          <w:sz w:val="20"/>
        </w:rPr>
        <w:t>The Reference Point may be defined by relevant accounting regulations in order to ensure that the</w:t>
      </w:r>
      <w:r w:rsidRPr="00D30BC1">
        <w:rPr>
          <w:rFonts w:ascii="Arial" w:hAnsi="Arial" w:cs="Arial"/>
          <w:sz w:val="20"/>
        </w:rPr>
        <w:t xml:space="preserve"> </w:t>
      </w:r>
      <w:r w:rsidRPr="00686DEB">
        <w:rPr>
          <w:rFonts w:ascii="Arial" w:hAnsi="Arial" w:cs="Arial"/>
          <w:sz w:val="20"/>
        </w:rPr>
        <w:t>Reference Point</w:t>
      </w:r>
      <w:r w:rsidRPr="00D30BC1">
        <w:rPr>
          <w:rFonts w:ascii="Arial" w:hAnsi="Arial" w:cs="Arial"/>
          <w:sz w:val="20"/>
        </w:rPr>
        <w:t xml:space="preserve"> is the same for both the measurement of reported </w:t>
      </w:r>
      <w:r>
        <w:rPr>
          <w:rFonts w:ascii="Arial" w:hAnsi="Arial" w:cs="Arial"/>
          <w:sz w:val="20"/>
        </w:rPr>
        <w:t xml:space="preserve">storage </w:t>
      </w:r>
      <w:r w:rsidRPr="00D30BC1">
        <w:rPr>
          <w:rFonts w:ascii="Arial" w:hAnsi="Arial" w:cs="Arial"/>
          <w:sz w:val="20"/>
        </w:rPr>
        <w:t xml:space="preserve">quantities and for the accounting treatment of </w:t>
      </w:r>
      <w:r>
        <w:rPr>
          <w:rFonts w:ascii="Arial" w:hAnsi="Arial" w:cs="Arial"/>
          <w:sz w:val="20"/>
        </w:rPr>
        <w:t>storage</w:t>
      </w:r>
      <w:r w:rsidRPr="00D30BC1">
        <w:rPr>
          <w:rFonts w:ascii="Arial" w:hAnsi="Arial" w:cs="Arial"/>
          <w:sz w:val="20"/>
        </w:rPr>
        <w:t xml:space="preserve"> revenues. This ensures that </w:t>
      </w:r>
      <w:r>
        <w:rPr>
          <w:rFonts w:ascii="Arial" w:hAnsi="Arial" w:cs="Arial"/>
          <w:sz w:val="20"/>
        </w:rPr>
        <w:t xml:space="preserve">storage </w:t>
      </w:r>
      <w:r w:rsidRPr="00D30BC1">
        <w:rPr>
          <w:rFonts w:ascii="Arial" w:hAnsi="Arial" w:cs="Arial"/>
          <w:sz w:val="20"/>
        </w:rPr>
        <w:t xml:space="preserve">quantities are stated according to their delivery specifications at a defined price. In integrated projects, the appropriate price at the </w:t>
      </w:r>
      <w:r w:rsidRPr="00EC13CF">
        <w:rPr>
          <w:rFonts w:ascii="Arial" w:hAnsi="Arial" w:cs="Arial"/>
          <w:sz w:val="20"/>
        </w:rPr>
        <w:t>Reference Point</w:t>
      </w:r>
      <w:r w:rsidRPr="00D30BC1">
        <w:rPr>
          <w:rFonts w:ascii="Arial" w:hAnsi="Arial" w:cs="Arial"/>
          <w:sz w:val="20"/>
        </w:rPr>
        <w:t xml:space="preserve"> may need to be determined using a netback calculation. </w:t>
      </w:r>
    </w:p>
    <w:p w14:paraId="0FEEA476" w14:textId="392555C7" w:rsidR="007063EE" w:rsidRDefault="007063EE" w:rsidP="00D30BC1">
      <w:pPr>
        <w:jc w:val="both"/>
        <w:rPr>
          <w:rFonts w:ascii="Arial" w:hAnsi="Arial" w:cs="Arial"/>
          <w:sz w:val="20"/>
        </w:rPr>
      </w:pPr>
    </w:p>
    <w:p w14:paraId="68588C75" w14:textId="60378932" w:rsidR="007063EE" w:rsidRPr="00D30BC1" w:rsidRDefault="007063EE" w:rsidP="00D30BC1">
      <w:pPr>
        <w:jc w:val="both"/>
        <w:rPr>
          <w:rFonts w:ascii="Arial" w:hAnsi="Arial" w:cs="Arial"/>
          <w:sz w:val="20"/>
        </w:rPr>
      </w:pPr>
      <w:r>
        <w:rPr>
          <w:rFonts w:ascii="Arial" w:hAnsi="Arial" w:cs="Arial"/>
          <w:sz w:val="20"/>
        </w:rPr>
        <w:t>To reduce risk of accounting for any CO</w:t>
      </w:r>
      <w:r w:rsidRPr="007063EE">
        <w:rPr>
          <w:rFonts w:ascii="Arial" w:hAnsi="Arial" w:cs="Arial"/>
          <w:sz w:val="20"/>
          <w:vertAlign w:val="subscript"/>
        </w:rPr>
        <w:t>2</w:t>
      </w:r>
      <w:r>
        <w:rPr>
          <w:rFonts w:ascii="Arial" w:hAnsi="Arial" w:cs="Arial"/>
          <w:sz w:val="20"/>
        </w:rPr>
        <w:t xml:space="preserve"> losses between the reference point and the injection well (downstream of the meter), placing the Reference Point near the injection well head is recommended.</w:t>
      </w:r>
    </w:p>
    <w:p w14:paraId="0F004767" w14:textId="77777777" w:rsidR="006B202E" w:rsidRPr="00D30BC1" w:rsidRDefault="006B202E" w:rsidP="00D30BC1">
      <w:pPr>
        <w:jc w:val="both"/>
        <w:rPr>
          <w:rFonts w:ascii="Arial" w:hAnsi="Arial" w:cs="Arial"/>
          <w:sz w:val="20"/>
        </w:rPr>
      </w:pPr>
    </w:p>
    <w:p w14:paraId="18BFFDEE" w14:textId="77777777" w:rsidR="006B202E" w:rsidRPr="00D30BC1" w:rsidRDefault="006B202E" w:rsidP="00D30BC1">
      <w:pPr>
        <w:pStyle w:val="Heading4"/>
        <w:rPr>
          <w:b/>
          <w:bCs/>
          <w:color w:val="auto"/>
        </w:rPr>
      </w:pPr>
      <w:r w:rsidRPr="00D30BC1">
        <w:rPr>
          <w:b/>
          <w:bCs/>
          <w:color w:val="auto"/>
        </w:rPr>
        <w:t xml:space="preserve">3.2.2 </w:t>
      </w:r>
      <w:r w:rsidRPr="00D30BC1">
        <w:rPr>
          <w:b/>
          <w:bCs/>
          <w:color w:val="auto"/>
        </w:rPr>
        <w:tab/>
      </w:r>
      <w:r>
        <w:rPr>
          <w:b/>
          <w:bCs/>
          <w:color w:val="auto"/>
        </w:rPr>
        <w:t>Processing Los</w:t>
      </w:r>
      <w:r w:rsidR="00686DEB">
        <w:rPr>
          <w:b/>
          <w:bCs/>
          <w:color w:val="auto"/>
        </w:rPr>
        <w:t>s</w:t>
      </w:r>
      <w:r>
        <w:rPr>
          <w:b/>
          <w:bCs/>
          <w:color w:val="auto"/>
        </w:rPr>
        <w:t>es</w:t>
      </w:r>
      <w:r w:rsidRPr="00D30BC1">
        <w:rPr>
          <w:b/>
          <w:bCs/>
          <w:color w:val="auto"/>
        </w:rPr>
        <w:t xml:space="preserve"> </w:t>
      </w:r>
    </w:p>
    <w:p w14:paraId="187D6031" w14:textId="77777777" w:rsidR="006B202E" w:rsidRPr="00D30BC1" w:rsidRDefault="006B202E" w:rsidP="00D30BC1">
      <w:pPr>
        <w:pStyle w:val="CommentText"/>
        <w:rPr>
          <w:rFonts w:ascii="Arial" w:hAnsi="Arial" w:cs="Arial"/>
          <w:szCs w:val="24"/>
        </w:rPr>
      </w:pPr>
    </w:p>
    <w:p w14:paraId="1CDFEB47" w14:textId="77777777" w:rsidR="00686DEB" w:rsidRPr="00D30BC1" w:rsidRDefault="00686DEB" w:rsidP="00686DEB">
      <w:pPr>
        <w:jc w:val="both"/>
        <w:rPr>
          <w:rFonts w:ascii="Arial" w:hAnsi="Arial" w:cs="Arial"/>
          <w:sz w:val="20"/>
        </w:rPr>
      </w:pPr>
      <w:r>
        <w:rPr>
          <w:rFonts w:ascii="Arial" w:hAnsi="Arial" w:cs="Arial"/>
          <w:sz w:val="20"/>
        </w:rPr>
        <w:t>Any l</w:t>
      </w:r>
      <w:r w:rsidR="006B202E" w:rsidRPr="00F4259E">
        <w:rPr>
          <w:rFonts w:ascii="Arial" w:hAnsi="Arial" w:cs="Arial"/>
          <w:sz w:val="20"/>
        </w:rPr>
        <w:t xml:space="preserve">osses </w:t>
      </w:r>
      <w:r>
        <w:rPr>
          <w:rFonts w:ascii="Arial" w:hAnsi="Arial" w:cs="Arial"/>
          <w:sz w:val="20"/>
        </w:rPr>
        <w:t xml:space="preserve">occurring between the reference point (meter) and the injection well head </w:t>
      </w:r>
      <w:r w:rsidR="006B202E">
        <w:rPr>
          <w:rFonts w:ascii="Arial" w:hAnsi="Arial" w:cs="Arial"/>
          <w:sz w:val="20"/>
        </w:rPr>
        <w:t xml:space="preserve">are </w:t>
      </w:r>
      <w:r w:rsidR="006B202E" w:rsidRPr="00F4259E">
        <w:rPr>
          <w:rFonts w:ascii="Arial" w:hAnsi="Arial" w:cs="Arial"/>
          <w:sz w:val="20"/>
        </w:rPr>
        <w:t>not included in stored quantities</w:t>
      </w:r>
      <w:r>
        <w:rPr>
          <w:rFonts w:ascii="Arial" w:hAnsi="Arial" w:cs="Arial"/>
          <w:sz w:val="20"/>
        </w:rPr>
        <w:t xml:space="preserve">.  </w:t>
      </w:r>
    </w:p>
    <w:p w14:paraId="5551D477" w14:textId="77777777" w:rsidR="006B202E" w:rsidRPr="00D30BC1" w:rsidRDefault="006B202E" w:rsidP="00D30BC1">
      <w:pPr>
        <w:rPr>
          <w:rFonts w:ascii="Arial" w:hAnsi="Arial" w:cs="Arial"/>
          <w:i/>
          <w:iCs/>
          <w:sz w:val="20"/>
        </w:rPr>
      </w:pPr>
    </w:p>
    <w:p w14:paraId="3F50B29F" w14:textId="77777777" w:rsidR="006B202E" w:rsidRPr="00D30BC1" w:rsidRDefault="006B202E" w:rsidP="001642F3">
      <w:pPr>
        <w:pStyle w:val="BodyText3"/>
        <w:jc w:val="both"/>
      </w:pPr>
    </w:p>
    <w:p w14:paraId="15E14BFD" w14:textId="2C2932D0" w:rsidR="006B202E" w:rsidRPr="00D30BC1" w:rsidRDefault="006B202E" w:rsidP="00D30BC1">
      <w:pPr>
        <w:pStyle w:val="Heading8"/>
      </w:pPr>
      <w:r w:rsidRPr="00D30BC1">
        <w:t>3.2.</w:t>
      </w:r>
      <w:r w:rsidR="00D335D3">
        <w:t>3</w:t>
      </w:r>
      <w:r w:rsidRPr="00D30BC1">
        <w:t xml:space="preserve"> </w:t>
      </w:r>
      <w:r w:rsidRPr="00D30BC1">
        <w:tab/>
      </w:r>
      <w:r>
        <w:t>Injection</w:t>
      </w:r>
      <w:r w:rsidRPr="00D30BC1">
        <w:t xml:space="preserve"> Balancing  </w:t>
      </w:r>
    </w:p>
    <w:p w14:paraId="7F2CF4A9" w14:textId="77777777" w:rsidR="006B202E" w:rsidRPr="00D30BC1" w:rsidRDefault="006B202E" w:rsidP="00D30BC1">
      <w:pPr>
        <w:pStyle w:val="CommentText"/>
        <w:rPr>
          <w:rFonts w:ascii="Arial" w:hAnsi="Arial" w:cs="Arial"/>
          <w:szCs w:val="24"/>
        </w:rPr>
      </w:pPr>
    </w:p>
    <w:p w14:paraId="7AB2E9BB" w14:textId="77777777" w:rsidR="006B202E" w:rsidRPr="00D30BC1" w:rsidRDefault="00EC13CF" w:rsidP="00D30BC1">
      <w:pPr>
        <w:jc w:val="both"/>
        <w:rPr>
          <w:rFonts w:ascii="Arial" w:hAnsi="Arial" w:cs="Arial"/>
          <w:sz w:val="20"/>
        </w:rPr>
      </w:pPr>
      <w:r>
        <w:rPr>
          <w:rFonts w:ascii="Arial" w:hAnsi="Arial" w:cs="Arial"/>
          <w:sz w:val="20"/>
        </w:rPr>
        <w:t>Capacity</w:t>
      </w:r>
      <w:r w:rsidR="006B202E" w:rsidRPr="00D30BC1">
        <w:rPr>
          <w:rFonts w:ascii="Arial" w:hAnsi="Arial" w:cs="Arial"/>
          <w:sz w:val="20"/>
        </w:rPr>
        <w:t xml:space="preserve"> estimates must be adjusted for </w:t>
      </w:r>
      <w:r w:rsidR="000C6D7B">
        <w:rPr>
          <w:rFonts w:ascii="Arial" w:hAnsi="Arial" w:cs="Arial"/>
          <w:sz w:val="20"/>
        </w:rPr>
        <w:t>s</w:t>
      </w:r>
      <w:r w:rsidR="00B10776">
        <w:rPr>
          <w:rFonts w:ascii="Arial" w:hAnsi="Arial" w:cs="Arial"/>
          <w:sz w:val="20"/>
        </w:rPr>
        <w:t>tored quantities</w:t>
      </w:r>
      <w:r w:rsidR="006B202E" w:rsidRPr="00D30BC1">
        <w:rPr>
          <w:rFonts w:ascii="Arial" w:hAnsi="Arial" w:cs="Arial"/>
          <w:sz w:val="20"/>
        </w:rPr>
        <w:t>.</w:t>
      </w:r>
      <w:r w:rsidR="006B202E" w:rsidRPr="00D30BC1">
        <w:rPr>
          <w:rFonts w:ascii="Arial" w:hAnsi="Arial" w:cs="Arial"/>
          <w:b/>
          <w:bCs/>
          <w:sz w:val="20"/>
        </w:rPr>
        <w:t xml:space="preserve"> </w:t>
      </w:r>
      <w:r w:rsidR="006B202E" w:rsidRPr="00D30BC1">
        <w:rPr>
          <w:rFonts w:ascii="Arial" w:hAnsi="Arial" w:cs="Arial"/>
          <w:sz w:val="20"/>
        </w:rPr>
        <w:t xml:space="preserve">This may be a complex accounting process when the allocation of </w:t>
      </w:r>
      <w:r w:rsidR="006B202E">
        <w:rPr>
          <w:rFonts w:ascii="Arial" w:hAnsi="Arial" w:cs="Arial"/>
          <w:sz w:val="20"/>
        </w:rPr>
        <w:t>injection</w:t>
      </w:r>
      <w:r w:rsidR="006B202E" w:rsidRPr="00D30BC1">
        <w:rPr>
          <w:rFonts w:ascii="Arial" w:hAnsi="Arial" w:cs="Arial"/>
          <w:sz w:val="20"/>
        </w:rPr>
        <w:t xml:space="preserve"> among project participants is not aligned with their entitlement to </w:t>
      </w:r>
      <w:r>
        <w:rPr>
          <w:rFonts w:ascii="Arial" w:hAnsi="Arial" w:cs="Arial"/>
          <w:sz w:val="20"/>
        </w:rPr>
        <w:t>Capacity</w:t>
      </w:r>
      <w:r w:rsidR="006B202E" w:rsidRPr="00D30BC1">
        <w:rPr>
          <w:rFonts w:ascii="Arial" w:hAnsi="Arial" w:cs="Arial"/>
          <w:sz w:val="20"/>
        </w:rPr>
        <w:t xml:space="preserve">. </w:t>
      </w:r>
      <w:r w:rsidR="00B10776">
        <w:rPr>
          <w:rFonts w:ascii="Arial" w:hAnsi="Arial" w:cs="Arial"/>
          <w:sz w:val="20"/>
        </w:rPr>
        <w:t xml:space="preserve">Stored overage or underage </w:t>
      </w:r>
      <w:r w:rsidR="006B202E" w:rsidRPr="00D30BC1">
        <w:rPr>
          <w:rFonts w:ascii="Arial" w:hAnsi="Arial" w:cs="Arial"/>
          <w:sz w:val="20"/>
        </w:rPr>
        <w:t xml:space="preserve">can occur in </w:t>
      </w:r>
      <w:r w:rsidR="006B202E">
        <w:rPr>
          <w:rFonts w:ascii="Arial" w:hAnsi="Arial" w:cs="Arial"/>
          <w:sz w:val="20"/>
        </w:rPr>
        <w:t>CO</w:t>
      </w:r>
      <w:r w:rsidR="006B202E" w:rsidRPr="00B12E59">
        <w:rPr>
          <w:rFonts w:ascii="Arial" w:hAnsi="Arial" w:cs="Arial"/>
          <w:sz w:val="20"/>
          <w:vertAlign w:val="subscript"/>
        </w:rPr>
        <w:t>2</w:t>
      </w:r>
      <w:r w:rsidR="006B202E">
        <w:rPr>
          <w:rFonts w:ascii="Arial" w:hAnsi="Arial" w:cs="Arial"/>
          <w:sz w:val="20"/>
        </w:rPr>
        <w:t xml:space="preserve"> injection</w:t>
      </w:r>
      <w:r w:rsidR="006B202E" w:rsidRPr="00D30BC1">
        <w:rPr>
          <w:rFonts w:ascii="Arial" w:hAnsi="Arial" w:cs="Arial"/>
          <w:sz w:val="20"/>
        </w:rPr>
        <w:t xml:space="preserve"> records because of the necessity for participants to </w:t>
      </w:r>
      <w:r w:rsidR="00E70A9E">
        <w:rPr>
          <w:rFonts w:ascii="Arial" w:hAnsi="Arial" w:cs="Arial"/>
          <w:sz w:val="20"/>
        </w:rPr>
        <w:t xml:space="preserve">use </w:t>
      </w:r>
      <w:r w:rsidR="006B202E">
        <w:rPr>
          <w:rFonts w:ascii="Arial" w:hAnsi="Arial" w:cs="Arial"/>
          <w:sz w:val="20"/>
        </w:rPr>
        <w:t>their storage resources</w:t>
      </w:r>
      <w:r w:rsidR="006B202E" w:rsidRPr="00D30BC1">
        <w:rPr>
          <w:rFonts w:ascii="Arial" w:hAnsi="Arial" w:cs="Arial"/>
          <w:sz w:val="20"/>
        </w:rPr>
        <w:t xml:space="preserve"> </w:t>
      </w:r>
      <w:r w:rsidR="006B202E">
        <w:rPr>
          <w:rFonts w:ascii="Arial" w:hAnsi="Arial" w:cs="Arial"/>
          <w:sz w:val="20"/>
        </w:rPr>
        <w:t xml:space="preserve">at an injection rate </w:t>
      </w:r>
      <w:r w:rsidR="006B202E" w:rsidRPr="00D30BC1">
        <w:rPr>
          <w:rFonts w:ascii="Arial" w:hAnsi="Arial" w:cs="Arial"/>
          <w:sz w:val="20"/>
        </w:rPr>
        <w:t xml:space="preserve">to suit </w:t>
      </w:r>
      <w:r w:rsidR="006B202E">
        <w:rPr>
          <w:rFonts w:ascii="Arial" w:hAnsi="Arial" w:cs="Arial"/>
          <w:sz w:val="20"/>
        </w:rPr>
        <w:t>the CO</w:t>
      </w:r>
      <w:r w:rsidR="006B202E" w:rsidRPr="00B12E59">
        <w:rPr>
          <w:rFonts w:ascii="Arial" w:hAnsi="Arial" w:cs="Arial"/>
          <w:sz w:val="20"/>
          <w:vertAlign w:val="subscript"/>
        </w:rPr>
        <w:t>2</w:t>
      </w:r>
      <w:r w:rsidR="006B202E">
        <w:rPr>
          <w:rFonts w:ascii="Arial" w:hAnsi="Arial" w:cs="Arial"/>
          <w:sz w:val="20"/>
        </w:rPr>
        <w:t xml:space="preserve"> </w:t>
      </w:r>
      <w:r w:rsidR="00E70A9E">
        <w:rPr>
          <w:rFonts w:ascii="Arial" w:hAnsi="Arial" w:cs="Arial"/>
          <w:sz w:val="20"/>
        </w:rPr>
        <w:t>generator</w:t>
      </w:r>
      <w:r w:rsidR="006B202E" w:rsidRPr="00D30BC1">
        <w:rPr>
          <w:rFonts w:ascii="Arial" w:hAnsi="Arial" w:cs="Arial"/>
          <w:sz w:val="20"/>
        </w:rPr>
        <w:t xml:space="preserve"> as agreed among the parties. Similarly, an imbalance in </w:t>
      </w:r>
      <w:r w:rsidR="006B202E">
        <w:rPr>
          <w:rFonts w:ascii="Arial" w:hAnsi="Arial" w:cs="Arial"/>
          <w:sz w:val="20"/>
        </w:rPr>
        <w:t>CO</w:t>
      </w:r>
      <w:r w:rsidR="006B202E" w:rsidRPr="00B12E59">
        <w:rPr>
          <w:rFonts w:ascii="Arial" w:hAnsi="Arial" w:cs="Arial"/>
          <w:sz w:val="20"/>
          <w:vertAlign w:val="subscript"/>
        </w:rPr>
        <w:t>2</w:t>
      </w:r>
      <w:r w:rsidR="006B202E">
        <w:rPr>
          <w:rFonts w:ascii="Arial" w:hAnsi="Arial" w:cs="Arial"/>
          <w:sz w:val="20"/>
        </w:rPr>
        <w:t xml:space="preserve"> injection</w:t>
      </w:r>
      <w:r w:rsidR="006B202E" w:rsidRPr="00D30BC1">
        <w:rPr>
          <w:rFonts w:ascii="Arial" w:hAnsi="Arial" w:cs="Arial"/>
          <w:sz w:val="20"/>
        </w:rPr>
        <w:t xml:space="preserve"> can result from the participants having different operating or marketing arrangements that prevent </w:t>
      </w:r>
      <w:r w:rsidR="006B202E">
        <w:rPr>
          <w:rFonts w:ascii="Arial" w:hAnsi="Arial" w:cs="Arial"/>
          <w:sz w:val="20"/>
        </w:rPr>
        <w:t xml:space="preserve">storage capacity </w:t>
      </w:r>
      <w:r w:rsidR="00E70A9E">
        <w:rPr>
          <w:rFonts w:ascii="Arial" w:hAnsi="Arial" w:cs="Arial"/>
          <w:sz w:val="20"/>
        </w:rPr>
        <w:t>usage</w:t>
      </w:r>
      <w:r w:rsidR="006B202E" w:rsidRPr="00D30BC1">
        <w:rPr>
          <w:rFonts w:ascii="Arial" w:hAnsi="Arial" w:cs="Arial"/>
          <w:sz w:val="20"/>
        </w:rPr>
        <w:t xml:space="preserve"> from being equal to entitlement share within a given time period. </w:t>
      </w:r>
    </w:p>
    <w:p w14:paraId="3CBDB254" w14:textId="77777777" w:rsidR="006B202E" w:rsidRPr="00D30BC1" w:rsidRDefault="006B202E" w:rsidP="00D30BC1">
      <w:pPr>
        <w:jc w:val="both"/>
        <w:rPr>
          <w:rFonts w:ascii="Arial" w:hAnsi="Arial" w:cs="Arial"/>
          <w:sz w:val="20"/>
        </w:rPr>
      </w:pPr>
    </w:p>
    <w:p w14:paraId="546F230C" w14:textId="77777777" w:rsidR="006B202E" w:rsidRPr="00D30BC1" w:rsidRDefault="006B202E" w:rsidP="00D30BC1">
      <w:pPr>
        <w:pStyle w:val="BodyText"/>
        <w:jc w:val="both"/>
      </w:pPr>
      <w:r w:rsidRPr="00D30BC1">
        <w:t xml:space="preserve">Based on </w:t>
      </w:r>
      <w:r>
        <w:t>storage resource</w:t>
      </w:r>
      <w:r w:rsidRPr="00D30BC1">
        <w:t xml:space="preserve"> matching the internal accounts, annual </w:t>
      </w:r>
      <w:r>
        <w:t>injection</w:t>
      </w:r>
      <w:r w:rsidRPr="00D30BC1">
        <w:t xml:space="preserve"> s</w:t>
      </w:r>
      <w:r w:rsidR="00B10776">
        <w:t xml:space="preserve">hould generally be equal to the quantities stored </w:t>
      </w:r>
      <w:r w:rsidRPr="00D30BC1">
        <w:t xml:space="preserve">by the participant and not on the </w:t>
      </w:r>
      <w:r w:rsidR="00E70A9E">
        <w:t xml:space="preserve">stored </w:t>
      </w:r>
      <w:r w:rsidRPr="00D30BC1">
        <w:t xml:space="preserve">entitlement for the year. However, actual </w:t>
      </w:r>
      <w:r>
        <w:t>injec</w:t>
      </w:r>
      <w:r w:rsidRPr="00D30BC1">
        <w:t xml:space="preserve">tion and entitlements must be reconciled in </w:t>
      </w:r>
      <w:r w:rsidR="00EC13CF">
        <w:t>Capacity</w:t>
      </w:r>
      <w:r w:rsidRPr="00D30BC1">
        <w:t xml:space="preserve"> assessments. Resulting imbalances must be monitored over time and eventually resolved before project abandonment. </w:t>
      </w:r>
    </w:p>
    <w:p w14:paraId="46A057BB" w14:textId="77777777" w:rsidR="006B202E" w:rsidRPr="00D30BC1" w:rsidRDefault="006B202E" w:rsidP="00D30BC1">
      <w:pPr>
        <w:rPr>
          <w:rFonts w:ascii="Arial" w:hAnsi="Arial" w:cs="Arial"/>
          <w:sz w:val="20"/>
        </w:rPr>
      </w:pPr>
    </w:p>
    <w:p w14:paraId="105268A5" w14:textId="77777777" w:rsidR="006B202E" w:rsidRPr="00D30BC1" w:rsidRDefault="006B202E" w:rsidP="006B202E">
      <w:pPr>
        <w:pStyle w:val="Heading2"/>
        <w:numPr>
          <w:ilvl w:val="1"/>
          <w:numId w:val="8"/>
        </w:numPr>
      </w:pPr>
      <w:r w:rsidRPr="00D30BC1">
        <w:t>Resources Entitlement and Recognition</w:t>
      </w:r>
    </w:p>
    <w:p w14:paraId="44852EE6" w14:textId="77777777" w:rsidR="006B202E" w:rsidRPr="00D30BC1" w:rsidRDefault="006B202E" w:rsidP="00D30BC1">
      <w:pPr>
        <w:pStyle w:val="CommentText"/>
        <w:rPr>
          <w:szCs w:val="24"/>
        </w:rPr>
      </w:pPr>
    </w:p>
    <w:p w14:paraId="446506CB" w14:textId="77777777" w:rsidR="006B202E" w:rsidRPr="00D30BC1" w:rsidRDefault="006B202E" w:rsidP="00D30BC1">
      <w:pPr>
        <w:pStyle w:val="BodyText"/>
        <w:jc w:val="both"/>
      </w:pPr>
      <w:r w:rsidRPr="00D30BC1">
        <w:t xml:space="preserve">While assessments are conducted to establish estimates of the </w:t>
      </w:r>
      <w:r w:rsidR="00EC13CF">
        <w:t>Total S</w:t>
      </w:r>
      <w:r>
        <w:t xml:space="preserve">torage </w:t>
      </w:r>
      <w:r w:rsidR="00EC13CF">
        <w:t>R</w:t>
      </w:r>
      <w:r>
        <w:t>esource</w:t>
      </w:r>
      <w:r w:rsidR="00EC13CF">
        <w:t>s</w:t>
      </w:r>
      <w:r w:rsidRPr="00D30BC1">
        <w:t xml:space="preserve"> and that portion </w:t>
      </w:r>
      <w:r>
        <w:t>u</w:t>
      </w:r>
      <w:r w:rsidR="00BE2C6A">
        <w:t>s</w:t>
      </w:r>
      <w:r>
        <w:t>ed</w:t>
      </w:r>
      <w:r w:rsidRPr="00D30BC1">
        <w:t xml:space="preserve"> by defined projects, the allocation of </w:t>
      </w:r>
      <w:r w:rsidR="00BE2C6A">
        <w:t xml:space="preserve">storable </w:t>
      </w:r>
      <w:r w:rsidRPr="00D30BC1">
        <w:t xml:space="preserve">quantities, costs, and revenues impacts the project economics and commerciality. This allocation is governed by the applicable contracts between the </w:t>
      </w:r>
      <w:r>
        <w:t>pore</w:t>
      </w:r>
      <w:r w:rsidR="00BE2C6A">
        <w:t xml:space="preserve"> </w:t>
      </w:r>
      <w:r>
        <w:t>space</w:t>
      </w:r>
      <w:r w:rsidRPr="00D30BC1">
        <w:t xml:space="preserve"> owners (lessors) and contractors (lessees) and is generally referred to as </w:t>
      </w:r>
      <w:r w:rsidRPr="00D30BC1">
        <w:rPr>
          <w:rFonts w:ascii="Times New Roman" w:hAnsi="Times New Roman"/>
          <w:sz w:val="18"/>
        </w:rPr>
        <w:t>“</w:t>
      </w:r>
      <w:r w:rsidRPr="00D30BC1">
        <w:t>entitlement.</w:t>
      </w:r>
      <w:r w:rsidRPr="00D30BC1">
        <w:rPr>
          <w:rFonts w:ascii="Times New Roman" w:hAnsi="Times New Roman"/>
          <w:sz w:val="18"/>
        </w:rPr>
        <w:t>”</w:t>
      </w:r>
      <w:r w:rsidRPr="00D30BC1">
        <w:t xml:space="preserve"> For publicly traded companies, securities regulators may set criteria regarding the classes and categories that can be </w:t>
      </w:r>
      <w:r w:rsidRPr="00D30BC1">
        <w:rPr>
          <w:rFonts w:ascii="Times New Roman" w:hAnsi="Times New Roman"/>
          <w:sz w:val="18"/>
        </w:rPr>
        <w:t>“</w:t>
      </w:r>
      <w:r w:rsidRPr="00D30BC1">
        <w:t>recognized</w:t>
      </w:r>
      <w:r w:rsidRPr="00D30BC1">
        <w:rPr>
          <w:rFonts w:ascii="Times New Roman" w:hAnsi="Times New Roman"/>
          <w:sz w:val="18"/>
        </w:rPr>
        <w:t>”</w:t>
      </w:r>
      <w:r w:rsidRPr="00D30BC1">
        <w:t xml:space="preserve"> in external disclosures. </w:t>
      </w:r>
    </w:p>
    <w:p w14:paraId="72C28065" w14:textId="77777777" w:rsidR="006B202E" w:rsidRPr="00D30BC1" w:rsidRDefault="006B202E" w:rsidP="00D30BC1">
      <w:pPr>
        <w:jc w:val="both"/>
        <w:rPr>
          <w:rFonts w:ascii="Arial" w:hAnsi="Arial" w:cs="Arial"/>
          <w:sz w:val="20"/>
        </w:rPr>
      </w:pPr>
    </w:p>
    <w:p w14:paraId="2AC49D0D" w14:textId="77777777" w:rsidR="006B202E" w:rsidRPr="005E4BC0" w:rsidRDefault="006B202E" w:rsidP="00D30BC1">
      <w:pPr>
        <w:pStyle w:val="BodyText"/>
        <w:jc w:val="both"/>
      </w:pPr>
      <w:r w:rsidRPr="00D30BC1">
        <w:t xml:space="preserve">Entitlements must ensure that the </w:t>
      </w:r>
      <w:r>
        <w:t>storage</w:t>
      </w:r>
      <w:r w:rsidRPr="00D30BC1">
        <w:t xml:space="preserve"> resources claimed/reported by individual stakeholders sum to the total </w:t>
      </w:r>
      <w:r>
        <w:t>storage</w:t>
      </w:r>
      <w:r w:rsidRPr="00D30BC1">
        <w:t xml:space="preserve"> resources; that is, there are none missing or duplicated in the allocation process. </w:t>
      </w:r>
      <w:r w:rsidRPr="00E81095">
        <w:rPr>
          <w:highlight w:val="red"/>
        </w:rPr>
        <w:t xml:space="preserve">(The </w:t>
      </w:r>
      <w:r w:rsidRPr="00E81095">
        <w:rPr>
          <w:rFonts w:ascii="Times New Roman" w:hAnsi="Times New Roman"/>
          <w:sz w:val="18"/>
          <w:highlight w:val="red"/>
        </w:rPr>
        <w:t>“</w:t>
      </w:r>
      <w:r w:rsidRPr="00E81095">
        <w:rPr>
          <w:highlight w:val="red"/>
        </w:rPr>
        <w:t>2001 Supplemental Guidelines,</w:t>
      </w:r>
      <w:r w:rsidRPr="00E81095">
        <w:rPr>
          <w:rFonts w:ascii="Times New Roman" w:hAnsi="Times New Roman"/>
          <w:sz w:val="18"/>
          <w:highlight w:val="red"/>
        </w:rPr>
        <w:t>”</w:t>
      </w:r>
      <w:r w:rsidRPr="00E81095">
        <w:rPr>
          <w:highlight w:val="red"/>
        </w:rPr>
        <w:t xml:space="preserve"> Chapter 9, addresses issues of Reserves recognition under production-sharing and non-traditional agreements.)</w:t>
      </w:r>
    </w:p>
    <w:p w14:paraId="53C9C706" w14:textId="77777777" w:rsidR="006B202E" w:rsidRPr="005E4BC0" w:rsidRDefault="006B202E" w:rsidP="00D30BC1">
      <w:pPr>
        <w:rPr>
          <w:rFonts w:ascii="Arial" w:hAnsi="Arial" w:cs="Arial"/>
          <w:sz w:val="20"/>
        </w:rPr>
      </w:pPr>
    </w:p>
    <w:p w14:paraId="7EE52012" w14:textId="77777777" w:rsidR="006B202E" w:rsidRPr="00D30BC1" w:rsidRDefault="006B202E" w:rsidP="00C11359">
      <w:pPr>
        <w:pStyle w:val="Heading8"/>
        <w:keepLines/>
        <w:numPr>
          <w:ilvl w:val="2"/>
          <w:numId w:val="8"/>
        </w:numPr>
      </w:pPr>
      <w:r w:rsidRPr="00D30BC1">
        <w:t xml:space="preserve">Royalty </w:t>
      </w:r>
    </w:p>
    <w:p w14:paraId="370C4C26" w14:textId="77777777" w:rsidR="006B202E" w:rsidRPr="00D30BC1" w:rsidRDefault="006B202E" w:rsidP="00C11359">
      <w:pPr>
        <w:keepNext/>
        <w:keepLines/>
      </w:pPr>
    </w:p>
    <w:p w14:paraId="6DD22026" w14:textId="77777777" w:rsidR="006B202E" w:rsidRPr="00D30BC1" w:rsidRDefault="006B202E" w:rsidP="00C11359">
      <w:pPr>
        <w:pStyle w:val="BodyText"/>
        <w:keepNext/>
        <w:keepLines/>
        <w:jc w:val="both"/>
        <w:rPr>
          <w:szCs w:val="22"/>
        </w:rPr>
      </w:pPr>
      <w:r w:rsidRPr="00D30BC1">
        <w:rPr>
          <w:szCs w:val="22"/>
        </w:rPr>
        <w:t xml:space="preserve">Royalty refers to payments that are due to the host government or </w:t>
      </w:r>
      <w:r w:rsidR="00D70889">
        <w:rPr>
          <w:szCs w:val="22"/>
        </w:rPr>
        <w:t xml:space="preserve">storage resource </w:t>
      </w:r>
      <w:r w:rsidRPr="00D30BC1">
        <w:rPr>
          <w:szCs w:val="22"/>
        </w:rPr>
        <w:t xml:space="preserve">owner (lessor) in return for </w:t>
      </w:r>
      <w:r w:rsidR="00D70889">
        <w:rPr>
          <w:szCs w:val="22"/>
        </w:rPr>
        <w:t xml:space="preserve">use </w:t>
      </w:r>
      <w:r w:rsidRPr="00D30BC1">
        <w:rPr>
          <w:szCs w:val="22"/>
        </w:rPr>
        <w:t xml:space="preserve">of the </w:t>
      </w:r>
      <w:r w:rsidR="00D70889">
        <w:rPr>
          <w:szCs w:val="22"/>
        </w:rPr>
        <w:t xml:space="preserve">storage </w:t>
      </w:r>
      <w:r>
        <w:rPr>
          <w:szCs w:val="22"/>
        </w:rPr>
        <w:t>resource</w:t>
      </w:r>
      <w:r w:rsidR="00181E1C">
        <w:rPr>
          <w:szCs w:val="22"/>
        </w:rPr>
        <w:t>s</w:t>
      </w:r>
      <w:r w:rsidRPr="00D30BC1">
        <w:rPr>
          <w:szCs w:val="22"/>
        </w:rPr>
        <w:t xml:space="preserve"> by the </w:t>
      </w:r>
      <w:r w:rsidR="00181E1C">
        <w:rPr>
          <w:szCs w:val="22"/>
        </w:rPr>
        <w:t xml:space="preserve">operator </w:t>
      </w:r>
      <w:r w:rsidRPr="00D30BC1">
        <w:rPr>
          <w:szCs w:val="22"/>
        </w:rPr>
        <w:t xml:space="preserve">(lessee/contractor) having access to the </w:t>
      </w:r>
      <w:r>
        <w:rPr>
          <w:szCs w:val="22"/>
        </w:rPr>
        <w:t>storage</w:t>
      </w:r>
      <w:r w:rsidRPr="00D30BC1">
        <w:rPr>
          <w:szCs w:val="22"/>
        </w:rPr>
        <w:t xml:space="preserve"> resources. </w:t>
      </w:r>
      <w:r w:rsidR="00D70889">
        <w:rPr>
          <w:szCs w:val="22"/>
        </w:rPr>
        <w:t xml:space="preserve"> </w:t>
      </w:r>
    </w:p>
    <w:p w14:paraId="3128438C" w14:textId="77777777" w:rsidR="006B202E" w:rsidRPr="00D30BC1" w:rsidRDefault="006B202E" w:rsidP="00D30BC1">
      <w:pPr>
        <w:pStyle w:val="BodyText3"/>
        <w:jc w:val="both"/>
        <w:rPr>
          <w:szCs w:val="22"/>
        </w:rPr>
      </w:pPr>
    </w:p>
    <w:p w14:paraId="70B42181" w14:textId="77777777" w:rsidR="006B202E" w:rsidRPr="00D30BC1" w:rsidRDefault="006B202E" w:rsidP="00D30BC1">
      <w:pPr>
        <w:pStyle w:val="BodyText3"/>
        <w:jc w:val="both"/>
        <w:rPr>
          <w:i w:val="0"/>
          <w:iCs w:val="0"/>
          <w:szCs w:val="22"/>
        </w:rPr>
      </w:pPr>
      <w:r w:rsidRPr="00D30BC1">
        <w:rPr>
          <w:i w:val="0"/>
          <w:iCs w:val="0"/>
          <w:szCs w:val="22"/>
        </w:rPr>
        <w:t xml:space="preserve">Many agreements allow for the lessee/contractor to </w:t>
      </w:r>
      <w:r>
        <w:rPr>
          <w:i w:val="0"/>
          <w:iCs w:val="0"/>
          <w:szCs w:val="22"/>
        </w:rPr>
        <w:t>u</w:t>
      </w:r>
      <w:r w:rsidR="00181E1C">
        <w:rPr>
          <w:i w:val="0"/>
          <w:iCs w:val="0"/>
          <w:szCs w:val="22"/>
        </w:rPr>
        <w:t>s</w:t>
      </w:r>
      <w:r>
        <w:rPr>
          <w:i w:val="0"/>
          <w:iCs w:val="0"/>
          <w:szCs w:val="22"/>
        </w:rPr>
        <w:t>e</w:t>
      </w:r>
      <w:r w:rsidRPr="00D30BC1">
        <w:rPr>
          <w:i w:val="0"/>
          <w:iCs w:val="0"/>
          <w:szCs w:val="22"/>
        </w:rPr>
        <w:t xml:space="preserve"> the royalty </w:t>
      </w:r>
      <w:r w:rsidR="00181E1C">
        <w:rPr>
          <w:i w:val="0"/>
          <w:iCs w:val="0"/>
          <w:szCs w:val="22"/>
        </w:rPr>
        <w:t xml:space="preserve">stored quantities </w:t>
      </w:r>
      <w:r w:rsidRPr="00D30BC1">
        <w:rPr>
          <w:i w:val="0"/>
          <w:iCs w:val="0"/>
          <w:szCs w:val="22"/>
        </w:rPr>
        <w:t xml:space="preserve">and </w:t>
      </w:r>
      <w:r>
        <w:rPr>
          <w:i w:val="0"/>
          <w:iCs w:val="0"/>
          <w:szCs w:val="22"/>
        </w:rPr>
        <w:t>monetize it</w:t>
      </w:r>
      <w:r w:rsidRPr="00D30BC1">
        <w:rPr>
          <w:i w:val="0"/>
          <w:iCs w:val="0"/>
          <w:szCs w:val="22"/>
        </w:rPr>
        <w:t xml:space="preserve"> on behalf of, and pay the proceeds to, the royalty owner/lessor. Some agreements provide for the royalty to be taken only in-kind by the royalty owner. In either case, royalty </w:t>
      </w:r>
      <w:r w:rsidR="00181E1C">
        <w:rPr>
          <w:i w:val="0"/>
          <w:iCs w:val="0"/>
          <w:szCs w:val="22"/>
        </w:rPr>
        <w:t xml:space="preserve">stored quantities </w:t>
      </w:r>
      <w:r w:rsidRPr="00D30BC1">
        <w:rPr>
          <w:i w:val="0"/>
          <w:iCs w:val="0"/>
          <w:szCs w:val="22"/>
        </w:rPr>
        <w:t>must be deducted from the lessee</w:t>
      </w:r>
      <w:r w:rsidRPr="00D30BC1">
        <w:rPr>
          <w:rFonts w:ascii="Times New Roman" w:hAnsi="Times New Roman"/>
          <w:i w:val="0"/>
          <w:iCs w:val="0"/>
          <w:sz w:val="18"/>
          <w:szCs w:val="22"/>
        </w:rPr>
        <w:t>’</w:t>
      </w:r>
      <w:r w:rsidRPr="00D30BC1">
        <w:rPr>
          <w:i w:val="0"/>
          <w:iCs w:val="0"/>
          <w:szCs w:val="22"/>
        </w:rPr>
        <w:t xml:space="preserve">s entitlement to resources. In some agreements, royalties owned by the host government are actually treated as taxes to be paid in cash. In such cases, the equivalent royalty </w:t>
      </w:r>
      <w:r w:rsidR="00181E1C">
        <w:rPr>
          <w:i w:val="0"/>
          <w:iCs w:val="0"/>
          <w:szCs w:val="22"/>
        </w:rPr>
        <w:t xml:space="preserve">stored quantities </w:t>
      </w:r>
      <w:r w:rsidRPr="00D30BC1">
        <w:rPr>
          <w:i w:val="0"/>
          <w:iCs w:val="0"/>
          <w:szCs w:val="22"/>
        </w:rPr>
        <w:t xml:space="preserve">are controlled by the contractor who may (subject to regulatory guidance) elect to report these </w:t>
      </w:r>
      <w:r w:rsidR="00181E1C">
        <w:rPr>
          <w:i w:val="0"/>
          <w:iCs w:val="0"/>
          <w:szCs w:val="22"/>
        </w:rPr>
        <w:t xml:space="preserve">stored quantities </w:t>
      </w:r>
      <w:r w:rsidRPr="00D30BC1">
        <w:rPr>
          <w:i w:val="0"/>
          <w:iCs w:val="0"/>
          <w:szCs w:val="22"/>
        </w:rPr>
        <w:t xml:space="preserve">as </w:t>
      </w:r>
      <w:r w:rsidR="00EC13CF">
        <w:rPr>
          <w:i w:val="0"/>
          <w:iCs w:val="0"/>
          <w:szCs w:val="22"/>
        </w:rPr>
        <w:t>Capacity</w:t>
      </w:r>
      <w:r w:rsidRPr="00D30BC1">
        <w:rPr>
          <w:i w:val="0"/>
          <w:iCs w:val="0"/>
          <w:szCs w:val="22"/>
        </w:rPr>
        <w:t xml:space="preserve"> and/or </w:t>
      </w:r>
      <w:r w:rsidRPr="00EC13CF">
        <w:rPr>
          <w:i w:val="0"/>
          <w:iCs w:val="0"/>
          <w:szCs w:val="22"/>
        </w:rPr>
        <w:t>Contingent Resources with appropriate offsets (increase in operating expense) to recognize the</w:t>
      </w:r>
      <w:r w:rsidRPr="00D30BC1">
        <w:rPr>
          <w:i w:val="0"/>
          <w:iCs w:val="0"/>
          <w:szCs w:val="22"/>
        </w:rPr>
        <w:t xml:space="preserve"> financial liability of the royalty obligation. </w:t>
      </w:r>
    </w:p>
    <w:p w14:paraId="4976554A" w14:textId="77777777" w:rsidR="006B202E" w:rsidRPr="00D30BC1" w:rsidRDefault="006B202E" w:rsidP="00D30BC1">
      <w:pPr>
        <w:pStyle w:val="BodyText3"/>
        <w:jc w:val="both"/>
        <w:rPr>
          <w:sz w:val="22"/>
          <w:szCs w:val="22"/>
        </w:rPr>
      </w:pPr>
    </w:p>
    <w:p w14:paraId="5BB2C26F" w14:textId="77777777" w:rsidR="006B202E" w:rsidRPr="00D30BC1" w:rsidRDefault="006B202E" w:rsidP="00D30BC1">
      <w:pPr>
        <w:pStyle w:val="BodyText3"/>
        <w:rPr>
          <w:i w:val="0"/>
          <w:iCs w:val="0"/>
        </w:rPr>
      </w:pPr>
      <w:r w:rsidRPr="00D30BC1">
        <w:rPr>
          <w:i w:val="0"/>
          <w:iCs w:val="0"/>
        </w:rPr>
        <w:t xml:space="preserve">Conversely, if a company owns a royalty or equivalent interest of any type in a project, the related quantities can be included in </w:t>
      </w:r>
      <w:r w:rsidRPr="00EC13CF">
        <w:rPr>
          <w:i w:val="0"/>
          <w:iCs w:val="0"/>
        </w:rPr>
        <w:t>Resources</w:t>
      </w:r>
      <w:r w:rsidRPr="00D30BC1">
        <w:rPr>
          <w:i w:val="0"/>
          <w:iCs w:val="0"/>
        </w:rPr>
        <w:t xml:space="preserve"> entitlements.  </w:t>
      </w:r>
    </w:p>
    <w:p w14:paraId="73DA1242" w14:textId="77777777" w:rsidR="006B202E" w:rsidRPr="00D30BC1" w:rsidRDefault="006B202E" w:rsidP="00D30BC1">
      <w:pPr>
        <w:pStyle w:val="BodyText3"/>
      </w:pPr>
    </w:p>
    <w:p w14:paraId="0FFB6A70" w14:textId="5DCFBD91" w:rsidR="006B202E" w:rsidRPr="00D30BC1" w:rsidRDefault="006B202E" w:rsidP="006B202E">
      <w:pPr>
        <w:pStyle w:val="Heading8"/>
        <w:numPr>
          <w:ilvl w:val="2"/>
          <w:numId w:val="12"/>
        </w:numPr>
      </w:pPr>
      <w:r>
        <w:t>Injection</w:t>
      </w:r>
      <w:r w:rsidRPr="00D30BC1">
        <w:t xml:space="preserve">-Sharing Contract </w:t>
      </w:r>
      <w:r w:rsidR="001E0235">
        <w:t>Capacity</w:t>
      </w:r>
      <w:r w:rsidRPr="00D30BC1">
        <w:t xml:space="preserve"> </w:t>
      </w:r>
    </w:p>
    <w:p w14:paraId="3B2EF2ED" w14:textId="77777777" w:rsidR="006B202E" w:rsidRPr="00D30BC1" w:rsidRDefault="006B202E" w:rsidP="00D30BC1">
      <w:pPr>
        <w:pStyle w:val="CommentText"/>
        <w:rPr>
          <w:rFonts w:ascii="Arial" w:hAnsi="Arial" w:cs="Arial"/>
          <w:szCs w:val="24"/>
        </w:rPr>
      </w:pPr>
    </w:p>
    <w:p w14:paraId="132A3655" w14:textId="77777777" w:rsidR="006B202E" w:rsidRPr="00D30BC1" w:rsidRDefault="006B202E" w:rsidP="00D30BC1">
      <w:pPr>
        <w:pStyle w:val="BodyText"/>
        <w:jc w:val="both"/>
        <w:rPr>
          <w:iCs/>
        </w:rPr>
      </w:pPr>
      <w:r w:rsidRPr="005C56A2">
        <w:rPr>
          <w:iCs/>
        </w:rPr>
        <w:t>Injection-Sharing Contracts</w:t>
      </w:r>
      <w:r w:rsidRPr="00D30BC1">
        <w:rPr>
          <w:iCs/>
        </w:rPr>
        <w:t xml:space="preserve"> (</w:t>
      </w:r>
      <w:r>
        <w:rPr>
          <w:iCs/>
        </w:rPr>
        <w:t>I</w:t>
      </w:r>
      <w:r w:rsidRPr="00D30BC1">
        <w:rPr>
          <w:iCs/>
        </w:rPr>
        <w:t xml:space="preserve">SCs) of various types </w:t>
      </w:r>
      <w:r w:rsidR="00181E1C">
        <w:rPr>
          <w:iCs/>
        </w:rPr>
        <w:t xml:space="preserve">may </w:t>
      </w:r>
      <w:r w:rsidRPr="00D30BC1">
        <w:rPr>
          <w:iCs/>
        </w:rPr>
        <w:t xml:space="preserve">replace conventional tax-royalty systems in many countries. Under the </w:t>
      </w:r>
      <w:r>
        <w:rPr>
          <w:iCs/>
        </w:rPr>
        <w:t>I</w:t>
      </w:r>
      <w:r w:rsidRPr="00D30BC1">
        <w:rPr>
          <w:iCs/>
        </w:rPr>
        <w:t xml:space="preserve">SC terms, the </w:t>
      </w:r>
      <w:r w:rsidR="00E75BA2">
        <w:rPr>
          <w:iCs/>
        </w:rPr>
        <w:t>operators has</w:t>
      </w:r>
      <w:r w:rsidRPr="00D30BC1">
        <w:rPr>
          <w:iCs/>
        </w:rPr>
        <w:t xml:space="preserve"> an entitlement to a portion of the </w:t>
      </w:r>
      <w:r w:rsidR="00E75BA2">
        <w:rPr>
          <w:iCs/>
        </w:rPr>
        <w:t>stored quantities</w:t>
      </w:r>
      <w:r w:rsidRPr="00D30BC1">
        <w:rPr>
          <w:iCs/>
        </w:rPr>
        <w:t xml:space="preserve">. This entitlement, often referred to as </w:t>
      </w:r>
      <w:r w:rsidRPr="00D30BC1">
        <w:rPr>
          <w:rFonts w:ascii="Times New Roman" w:hAnsi="Times New Roman"/>
          <w:iCs/>
          <w:sz w:val="18"/>
        </w:rPr>
        <w:t>“</w:t>
      </w:r>
      <w:r w:rsidRPr="00D30BC1">
        <w:rPr>
          <w:iCs/>
        </w:rPr>
        <w:t>net entitlement</w:t>
      </w:r>
      <w:r w:rsidRPr="00D30BC1">
        <w:rPr>
          <w:rFonts w:ascii="Times New Roman" w:hAnsi="Times New Roman"/>
          <w:iCs/>
          <w:sz w:val="18"/>
        </w:rPr>
        <w:t>”</w:t>
      </w:r>
      <w:r w:rsidRPr="00D30BC1">
        <w:rPr>
          <w:iCs/>
        </w:rPr>
        <w:t xml:space="preserve"> or </w:t>
      </w:r>
      <w:r w:rsidRPr="00D30BC1">
        <w:rPr>
          <w:rFonts w:ascii="Times New Roman" w:hAnsi="Times New Roman"/>
          <w:iCs/>
          <w:sz w:val="18"/>
        </w:rPr>
        <w:t>“</w:t>
      </w:r>
      <w:r w:rsidRPr="00D30BC1">
        <w:rPr>
          <w:iCs/>
        </w:rPr>
        <w:t>net economic interest,</w:t>
      </w:r>
      <w:r w:rsidRPr="00D30BC1">
        <w:rPr>
          <w:rFonts w:ascii="Times New Roman" w:hAnsi="Times New Roman"/>
          <w:iCs/>
          <w:sz w:val="18"/>
        </w:rPr>
        <w:t>”</w:t>
      </w:r>
      <w:r w:rsidRPr="00D30BC1">
        <w:rPr>
          <w:iCs/>
        </w:rPr>
        <w:t xml:space="preserve"> is estimated using a formula based on the contract terms incorporating project costs and project profits. </w:t>
      </w:r>
    </w:p>
    <w:p w14:paraId="55731240" w14:textId="77777777" w:rsidR="006B202E" w:rsidRPr="00D30BC1" w:rsidRDefault="006B202E" w:rsidP="00D30BC1">
      <w:pPr>
        <w:pStyle w:val="CommentText"/>
        <w:jc w:val="both"/>
        <w:rPr>
          <w:rFonts w:ascii="Arial" w:hAnsi="Arial" w:cs="Arial"/>
          <w:bCs/>
          <w:iCs/>
          <w:szCs w:val="24"/>
        </w:rPr>
      </w:pPr>
    </w:p>
    <w:p w14:paraId="3A900402" w14:textId="77777777" w:rsidR="006B202E" w:rsidRPr="00D30BC1" w:rsidRDefault="006B202E" w:rsidP="00D30BC1">
      <w:pPr>
        <w:jc w:val="both"/>
        <w:rPr>
          <w:rFonts w:ascii="Arial" w:hAnsi="Arial" w:cs="Arial"/>
          <w:bCs/>
          <w:iCs/>
          <w:sz w:val="20"/>
        </w:rPr>
      </w:pPr>
      <w:r w:rsidRPr="00D30BC1">
        <w:rPr>
          <w:rFonts w:ascii="Arial" w:hAnsi="Arial" w:cs="Arial"/>
          <w:bCs/>
          <w:iCs/>
          <w:sz w:val="20"/>
        </w:rPr>
        <w:t xml:space="preserve">Although ownership of the </w:t>
      </w:r>
      <w:r w:rsidR="00E75BA2">
        <w:rPr>
          <w:rFonts w:ascii="Arial" w:hAnsi="Arial" w:cs="Arial"/>
          <w:bCs/>
          <w:iCs/>
          <w:sz w:val="20"/>
        </w:rPr>
        <w:t>stored quantities</w:t>
      </w:r>
      <w:r w:rsidR="00E75BA2" w:rsidRPr="00D30BC1">
        <w:rPr>
          <w:rFonts w:ascii="Arial" w:hAnsi="Arial" w:cs="Arial"/>
          <w:bCs/>
          <w:iCs/>
          <w:sz w:val="20"/>
        </w:rPr>
        <w:t xml:space="preserve"> </w:t>
      </w:r>
      <w:r w:rsidRPr="00D30BC1">
        <w:rPr>
          <w:rFonts w:ascii="Arial" w:hAnsi="Arial" w:cs="Arial"/>
          <w:bCs/>
          <w:iCs/>
          <w:sz w:val="20"/>
        </w:rPr>
        <w:t xml:space="preserve">invariably remains with the government authority up to the export point of the project, the </w:t>
      </w:r>
      <w:r w:rsidR="00E75BA2">
        <w:rPr>
          <w:rFonts w:ascii="Arial" w:hAnsi="Arial" w:cs="Arial"/>
          <w:bCs/>
          <w:iCs/>
          <w:sz w:val="20"/>
        </w:rPr>
        <w:t>operators</w:t>
      </w:r>
      <w:r w:rsidR="00E75BA2" w:rsidRPr="00D30BC1">
        <w:rPr>
          <w:rFonts w:ascii="Arial" w:hAnsi="Arial" w:cs="Arial"/>
          <w:bCs/>
          <w:iCs/>
          <w:sz w:val="20"/>
        </w:rPr>
        <w:t xml:space="preserve"> </w:t>
      </w:r>
      <w:r w:rsidRPr="00D30BC1">
        <w:rPr>
          <w:rFonts w:ascii="Arial" w:hAnsi="Arial" w:cs="Arial"/>
          <w:bCs/>
          <w:iCs/>
          <w:sz w:val="20"/>
        </w:rPr>
        <w:t xml:space="preserve">may take title to their share of the net entitlement at that point and may claim that share as their </w:t>
      </w:r>
      <w:r w:rsidR="00E75BA2">
        <w:rPr>
          <w:rFonts w:ascii="Arial" w:hAnsi="Arial" w:cs="Arial"/>
          <w:bCs/>
          <w:iCs/>
          <w:sz w:val="20"/>
        </w:rPr>
        <w:t>Capacity</w:t>
      </w:r>
      <w:r w:rsidRPr="00D30BC1">
        <w:rPr>
          <w:rFonts w:ascii="Arial" w:hAnsi="Arial" w:cs="Arial"/>
          <w:bCs/>
          <w:iCs/>
          <w:sz w:val="20"/>
        </w:rPr>
        <w:t xml:space="preserve">. </w:t>
      </w:r>
    </w:p>
    <w:p w14:paraId="41F683A3" w14:textId="77777777" w:rsidR="006B202E" w:rsidRPr="00D30BC1" w:rsidRDefault="006B202E" w:rsidP="00D30BC1">
      <w:pPr>
        <w:jc w:val="both"/>
        <w:rPr>
          <w:rFonts w:ascii="Arial" w:hAnsi="Arial" w:cs="Arial"/>
          <w:iCs/>
          <w:sz w:val="20"/>
        </w:rPr>
      </w:pPr>
    </w:p>
    <w:p w14:paraId="2924E5EC" w14:textId="257F3705" w:rsidR="006B202E" w:rsidRPr="00232C8A" w:rsidRDefault="006B202E" w:rsidP="00D30BC1">
      <w:pPr>
        <w:jc w:val="both"/>
        <w:rPr>
          <w:rFonts w:ascii="Arial" w:hAnsi="Arial" w:cs="Arial"/>
          <w:iCs/>
          <w:sz w:val="20"/>
          <w:szCs w:val="20"/>
        </w:rPr>
      </w:pPr>
      <w:r w:rsidRPr="005C56A2">
        <w:rPr>
          <w:rFonts w:ascii="Arial" w:hAnsi="Arial" w:cs="Arial"/>
          <w:iCs/>
          <w:sz w:val="20"/>
        </w:rPr>
        <w:t xml:space="preserve">Risked-Service Contracts (RSCs) are similar to ISCs, but in this case, the </w:t>
      </w:r>
      <w:r w:rsidR="00232C8A">
        <w:rPr>
          <w:rFonts w:ascii="Arial" w:hAnsi="Arial" w:cs="Arial"/>
          <w:sz w:val="20"/>
          <w:szCs w:val="20"/>
        </w:rPr>
        <w:t xml:space="preserve">operators </w:t>
      </w:r>
      <w:r w:rsidRPr="00D30BC1">
        <w:rPr>
          <w:rFonts w:ascii="Arial" w:hAnsi="Arial" w:cs="Arial"/>
          <w:iCs/>
          <w:sz w:val="20"/>
        </w:rPr>
        <w:t xml:space="preserve">are paid in cash rather than in </w:t>
      </w:r>
      <w:r w:rsidR="00232C8A">
        <w:rPr>
          <w:rFonts w:ascii="Arial" w:hAnsi="Arial" w:cs="Arial"/>
          <w:iCs/>
          <w:sz w:val="20"/>
        </w:rPr>
        <w:t>stored quantities</w:t>
      </w:r>
      <w:r w:rsidRPr="00D30BC1">
        <w:rPr>
          <w:rFonts w:ascii="Arial" w:hAnsi="Arial" w:cs="Arial"/>
          <w:iCs/>
          <w:sz w:val="20"/>
        </w:rPr>
        <w:t xml:space="preserve">. As with </w:t>
      </w:r>
      <w:r w:rsidRPr="005C56A2">
        <w:rPr>
          <w:rFonts w:ascii="Arial" w:hAnsi="Arial" w:cs="Arial"/>
          <w:iCs/>
          <w:sz w:val="20"/>
        </w:rPr>
        <w:t xml:space="preserve">ISCs, the </w:t>
      </w:r>
      <w:r w:rsidR="001E0235">
        <w:rPr>
          <w:rFonts w:ascii="Arial" w:hAnsi="Arial" w:cs="Arial"/>
          <w:iCs/>
          <w:sz w:val="20"/>
        </w:rPr>
        <w:t>Capacity</w:t>
      </w:r>
      <w:r w:rsidRPr="005C56A2">
        <w:rPr>
          <w:rFonts w:ascii="Arial" w:hAnsi="Arial" w:cs="Arial"/>
          <w:iCs/>
          <w:sz w:val="20"/>
        </w:rPr>
        <w:t xml:space="preserve"> claimed are based on the parties</w:t>
      </w:r>
      <w:r w:rsidRPr="005C56A2">
        <w:rPr>
          <w:rFonts w:cs="Arial"/>
          <w:iCs/>
          <w:sz w:val="18"/>
        </w:rPr>
        <w:t>’</w:t>
      </w:r>
      <w:r w:rsidRPr="005C56A2">
        <w:rPr>
          <w:rFonts w:ascii="Arial" w:hAnsi="Arial" w:cs="Arial"/>
          <w:iCs/>
          <w:sz w:val="20"/>
        </w:rPr>
        <w:t xml:space="preserve"> net economic interest. Care needs to be taken to distinguish between an RSC and a </w:t>
      </w:r>
      <w:r w:rsidRPr="005C56A2">
        <w:rPr>
          <w:rFonts w:cs="Arial"/>
          <w:iCs/>
          <w:sz w:val="18"/>
        </w:rPr>
        <w:t>“</w:t>
      </w:r>
      <w:r w:rsidRPr="005C56A2">
        <w:rPr>
          <w:rFonts w:ascii="Arial" w:hAnsi="Arial" w:cs="Arial"/>
          <w:iCs/>
          <w:sz w:val="20"/>
        </w:rPr>
        <w:t>Pure Service Contract.</w:t>
      </w:r>
      <w:r w:rsidRPr="005C56A2">
        <w:rPr>
          <w:rFonts w:cs="Arial"/>
          <w:iCs/>
          <w:sz w:val="18"/>
        </w:rPr>
        <w:t>”</w:t>
      </w:r>
      <w:r w:rsidR="001E0235">
        <w:rPr>
          <w:rFonts w:ascii="Arial" w:hAnsi="Arial" w:cs="Arial"/>
          <w:iCs/>
          <w:sz w:val="20"/>
        </w:rPr>
        <w:t xml:space="preserve"> Capacity</w:t>
      </w:r>
      <w:r w:rsidRPr="005C56A2">
        <w:rPr>
          <w:rFonts w:ascii="Arial" w:hAnsi="Arial" w:cs="Arial"/>
          <w:iCs/>
          <w:sz w:val="20"/>
        </w:rPr>
        <w:t xml:space="preserve"> can be claimed in an RSC on the basis </w:t>
      </w:r>
      <w:r w:rsidRPr="00232C8A">
        <w:rPr>
          <w:rFonts w:ascii="Arial" w:hAnsi="Arial" w:cs="Arial"/>
          <w:iCs/>
          <w:sz w:val="20"/>
          <w:szCs w:val="20"/>
        </w:rPr>
        <w:t xml:space="preserve">that the </w:t>
      </w:r>
      <w:r w:rsidR="00232C8A">
        <w:rPr>
          <w:rFonts w:ascii="Arial" w:hAnsi="Arial" w:cs="Arial"/>
          <w:iCs/>
          <w:sz w:val="20"/>
          <w:szCs w:val="20"/>
        </w:rPr>
        <w:t xml:space="preserve">operators </w:t>
      </w:r>
      <w:r w:rsidRPr="00232C8A">
        <w:rPr>
          <w:rFonts w:ascii="Arial" w:hAnsi="Arial" w:cs="Arial"/>
          <w:iCs/>
          <w:sz w:val="20"/>
          <w:szCs w:val="20"/>
        </w:rPr>
        <w:t xml:space="preserve">are exposed to capital at risk, whereas no </w:t>
      </w:r>
      <w:r w:rsidR="005C56A2" w:rsidRPr="00232C8A">
        <w:rPr>
          <w:rFonts w:ascii="Arial" w:hAnsi="Arial" w:cs="Arial"/>
          <w:iCs/>
          <w:sz w:val="20"/>
          <w:szCs w:val="20"/>
        </w:rPr>
        <w:t>Capacity</w:t>
      </w:r>
      <w:r w:rsidRPr="00232C8A">
        <w:rPr>
          <w:rFonts w:ascii="Arial" w:hAnsi="Arial" w:cs="Arial"/>
          <w:iCs/>
          <w:sz w:val="20"/>
          <w:szCs w:val="20"/>
        </w:rPr>
        <w:t xml:space="preserve"> can be claimed for Pure Service Contracts because there are no market risks and the </w:t>
      </w:r>
      <w:r w:rsidR="007209D4">
        <w:rPr>
          <w:rFonts w:ascii="Arial" w:hAnsi="Arial" w:cs="Arial"/>
          <w:iCs/>
          <w:sz w:val="20"/>
          <w:szCs w:val="20"/>
        </w:rPr>
        <w:t xml:space="preserve">operators </w:t>
      </w:r>
      <w:r w:rsidRPr="00232C8A">
        <w:rPr>
          <w:rFonts w:ascii="Arial" w:hAnsi="Arial" w:cs="Arial"/>
          <w:iCs/>
          <w:sz w:val="20"/>
          <w:szCs w:val="20"/>
        </w:rPr>
        <w:t>act as contractors.</w:t>
      </w:r>
    </w:p>
    <w:p w14:paraId="0795632F" w14:textId="77777777" w:rsidR="006B202E" w:rsidRPr="00D30BC1" w:rsidRDefault="006B202E" w:rsidP="00D30BC1">
      <w:pPr>
        <w:pStyle w:val="BodyText"/>
        <w:jc w:val="both"/>
        <w:rPr>
          <w:iCs/>
        </w:rPr>
      </w:pPr>
    </w:p>
    <w:p w14:paraId="090AAA64" w14:textId="77777777" w:rsidR="006B202E" w:rsidRPr="00D30BC1" w:rsidRDefault="006B202E" w:rsidP="00D30BC1">
      <w:pPr>
        <w:jc w:val="both"/>
        <w:rPr>
          <w:rFonts w:ascii="Arial" w:hAnsi="Arial" w:cs="Arial"/>
          <w:iCs/>
          <w:sz w:val="20"/>
        </w:rPr>
      </w:pPr>
      <w:r w:rsidRPr="00D30BC1">
        <w:rPr>
          <w:rFonts w:ascii="Arial" w:hAnsi="Arial" w:cs="Arial"/>
          <w:iCs/>
          <w:sz w:val="20"/>
        </w:rPr>
        <w:t xml:space="preserve">Unlike traditional royalty-lease agreements, the cost recovery system in </w:t>
      </w:r>
      <w:r w:rsidR="007209D4">
        <w:rPr>
          <w:rFonts w:ascii="Arial" w:hAnsi="Arial" w:cs="Arial"/>
          <w:iCs/>
          <w:sz w:val="20"/>
        </w:rPr>
        <w:t xml:space="preserve">stored quantities </w:t>
      </w:r>
      <w:r w:rsidRPr="00D30BC1">
        <w:rPr>
          <w:rFonts w:ascii="Arial" w:hAnsi="Arial" w:cs="Arial"/>
          <w:iCs/>
          <w:sz w:val="20"/>
        </w:rPr>
        <w:t xml:space="preserve">sharing, risk-service, and other related contracts typically reduce the </w:t>
      </w:r>
      <w:r w:rsidR="007209D4">
        <w:rPr>
          <w:rFonts w:ascii="Arial" w:hAnsi="Arial" w:cs="Arial"/>
          <w:iCs/>
          <w:sz w:val="20"/>
        </w:rPr>
        <w:t xml:space="preserve">stored quantity </w:t>
      </w:r>
      <w:r w:rsidRPr="00D30BC1">
        <w:rPr>
          <w:rFonts w:ascii="Arial" w:hAnsi="Arial" w:cs="Arial"/>
          <w:iCs/>
          <w:sz w:val="20"/>
        </w:rPr>
        <w:t xml:space="preserve">share and hence </w:t>
      </w:r>
      <w:r w:rsidR="005C56A2">
        <w:rPr>
          <w:rFonts w:ascii="Arial" w:hAnsi="Arial" w:cs="Arial"/>
          <w:iCs/>
          <w:sz w:val="20"/>
        </w:rPr>
        <w:t>Capacity</w:t>
      </w:r>
      <w:r w:rsidR="000C6D7B">
        <w:rPr>
          <w:rFonts w:ascii="Arial" w:hAnsi="Arial" w:cs="Arial"/>
          <w:iCs/>
          <w:sz w:val="20"/>
        </w:rPr>
        <w:t xml:space="preserve"> obtained by the</w:t>
      </w:r>
      <w:r w:rsidRPr="00D30BC1">
        <w:rPr>
          <w:rFonts w:ascii="Arial" w:hAnsi="Arial" w:cs="Arial"/>
          <w:iCs/>
          <w:sz w:val="20"/>
        </w:rPr>
        <w:t xml:space="preserve"> </w:t>
      </w:r>
      <w:r w:rsidR="007209D4">
        <w:rPr>
          <w:rFonts w:ascii="Arial" w:hAnsi="Arial" w:cs="Arial"/>
          <w:iCs/>
          <w:sz w:val="20"/>
        </w:rPr>
        <w:t>operator</w:t>
      </w:r>
      <w:r w:rsidR="007209D4" w:rsidRPr="00D30BC1">
        <w:rPr>
          <w:rFonts w:ascii="Arial" w:hAnsi="Arial" w:cs="Arial"/>
          <w:iCs/>
          <w:sz w:val="20"/>
        </w:rPr>
        <w:t xml:space="preserve"> </w:t>
      </w:r>
      <w:r w:rsidRPr="00D30BC1">
        <w:rPr>
          <w:rFonts w:ascii="Arial" w:hAnsi="Arial" w:cs="Arial"/>
          <w:iCs/>
          <w:sz w:val="20"/>
        </w:rPr>
        <w:t xml:space="preserve">in periods of high </w:t>
      </w:r>
      <w:r>
        <w:rPr>
          <w:rFonts w:ascii="Arial" w:hAnsi="Arial" w:cs="Arial"/>
          <w:iCs/>
          <w:sz w:val="20"/>
        </w:rPr>
        <w:t>value / low costs</w:t>
      </w:r>
      <w:r w:rsidRPr="00D30BC1">
        <w:rPr>
          <w:rFonts w:ascii="Arial" w:hAnsi="Arial" w:cs="Arial"/>
          <w:iCs/>
          <w:sz w:val="20"/>
        </w:rPr>
        <w:t xml:space="preserve"> and increase volumes in periods of low </w:t>
      </w:r>
      <w:r>
        <w:rPr>
          <w:rFonts w:ascii="Arial" w:hAnsi="Arial" w:cs="Arial"/>
          <w:iCs/>
          <w:sz w:val="20"/>
        </w:rPr>
        <w:t>value / high costs</w:t>
      </w:r>
      <w:r w:rsidRPr="00D30BC1">
        <w:rPr>
          <w:rFonts w:ascii="Arial" w:hAnsi="Arial" w:cs="Arial"/>
          <w:iCs/>
          <w:sz w:val="20"/>
        </w:rPr>
        <w:t xml:space="preserve">. While this ensures cost recovery, it introduces a significant price-related volatility in annual </w:t>
      </w:r>
      <w:r w:rsidR="005C56A2">
        <w:rPr>
          <w:rFonts w:ascii="Arial" w:hAnsi="Arial" w:cs="Arial"/>
          <w:iCs/>
          <w:sz w:val="20"/>
        </w:rPr>
        <w:t>Capacity</w:t>
      </w:r>
      <w:r w:rsidR="005C56A2" w:rsidRPr="00D30BC1">
        <w:rPr>
          <w:rFonts w:ascii="Arial" w:hAnsi="Arial" w:cs="Arial"/>
          <w:iCs/>
          <w:sz w:val="20"/>
        </w:rPr>
        <w:t xml:space="preserve"> </w:t>
      </w:r>
      <w:r w:rsidRPr="00D30BC1">
        <w:rPr>
          <w:rFonts w:ascii="Arial" w:hAnsi="Arial" w:cs="Arial"/>
          <w:iCs/>
          <w:sz w:val="20"/>
        </w:rPr>
        <w:t xml:space="preserve">estimates under cases using </w:t>
      </w:r>
      <w:r w:rsidRPr="00D30BC1">
        <w:rPr>
          <w:rFonts w:cs="Arial"/>
          <w:iCs/>
          <w:sz w:val="18"/>
        </w:rPr>
        <w:t>“</w:t>
      </w:r>
      <w:r w:rsidRPr="00D30BC1">
        <w:rPr>
          <w:rFonts w:ascii="Arial" w:hAnsi="Arial" w:cs="Arial"/>
          <w:iCs/>
          <w:sz w:val="20"/>
        </w:rPr>
        <w:t>current</w:t>
      </w:r>
      <w:r w:rsidRPr="00D30BC1">
        <w:rPr>
          <w:rFonts w:cs="Arial"/>
          <w:iCs/>
          <w:sz w:val="18"/>
        </w:rPr>
        <w:t>”</w:t>
      </w:r>
      <w:r w:rsidRPr="00D30BC1">
        <w:rPr>
          <w:rFonts w:ascii="Arial" w:hAnsi="Arial" w:cs="Arial"/>
          <w:iCs/>
          <w:sz w:val="20"/>
        </w:rPr>
        <w:t xml:space="preserve"> economic conditions. Under a defined </w:t>
      </w:r>
      <w:r w:rsidRPr="00D30BC1">
        <w:rPr>
          <w:rFonts w:cs="Arial"/>
          <w:iCs/>
          <w:sz w:val="18"/>
        </w:rPr>
        <w:t>“</w:t>
      </w:r>
      <w:r w:rsidRPr="00D30BC1">
        <w:rPr>
          <w:rFonts w:ascii="Arial" w:hAnsi="Arial" w:cs="Arial"/>
          <w:iCs/>
          <w:sz w:val="20"/>
        </w:rPr>
        <w:t>forecast conditions case,</w:t>
      </w:r>
      <w:r w:rsidRPr="00D30BC1">
        <w:rPr>
          <w:rFonts w:cs="Arial"/>
          <w:iCs/>
          <w:sz w:val="18"/>
        </w:rPr>
        <w:t>”</w:t>
      </w:r>
      <w:r w:rsidRPr="00D30BC1">
        <w:rPr>
          <w:rFonts w:ascii="Arial" w:hAnsi="Arial" w:cs="Arial"/>
          <w:iCs/>
          <w:sz w:val="20"/>
        </w:rPr>
        <w:t xml:space="preserve"> the future relationship of price</w:t>
      </w:r>
      <w:r>
        <w:rPr>
          <w:rFonts w:ascii="Arial" w:hAnsi="Arial" w:cs="Arial"/>
          <w:iCs/>
          <w:sz w:val="20"/>
        </w:rPr>
        <w:t xml:space="preserve"> (subsid</w:t>
      </w:r>
      <w:r w:rsidR="00241D2A">
        <w:rPr>
          <w:rFonts w:ascii="Arial" w:hAnsi="Arial" w:cs="Arial"/>
          <w:iCs/>
          <w:sz w:val="20"/>
        </w:rPr>
        <w:t>i</w:t>
      </w:r>
      <w:r>
        <w:rPr>
          <w:rFonts w:ascii="Arial" w:hAnsi="Arial" w:cs="Arial"/>
          <w:iCs/>
          <w:sz w:val="20"/>
        </w:rPr>
        <w:t>es or tax credits)</w:t>
      </w:r>
      <w:r w:rsidRPr="00D30BC1">
        <w:rPr>
          <w:rFonts w:ascii="Arial" w:hAnsi="Arial" w:cs="Arial"/>
          <w:iCs/>
          <w:sz w:val="20"/>
        </w:rPr>
        <w:t xml:space="preserve"> to </w:t>
      </w:r>
      <w:r w:rsidR="005C56A2">
        <w:rPr>
          <w:rFonts w:ascii="Arial" w:hAnsi="Arial" w:cs="Arial"/>
          <w:iCs/>
          <w:sz w:val="20"/>
        </w:rPr>
        <w:t>Capacity</w:t>
      </w:r>
      <w:r w:rsidR="005C56A2" w:rsidRPr="00D30BC1">
        <w:rPr>
          <w:rFonts w:ascii="Arial" w:hAnsi="Arial" w:cs="Arial"/>
          <w:iCs/>
          <w:sz w:val="20"/>
        </w:rPr>
        <w:t xml:space="preserve"> </w:t>
      </w:r>
      <w:r w:rsidRPr="00D30BC1">
        <w:rPr>
          <w:rFonts w:ascii="Arial" w:hAnsi="Arial" w:cs="Arial"/>
          <w:iCs/>
          <w:sz w:val="20"/>
        </w:rPr>
        <w:t xml:space="preserve">entitlement is known. </w:t>
      </w:r>
    </w:p>
    <w:p w14:paraId="79376729" w14:textId="77777777" w:rsidR="006B202E" w:rsidRPr="00D30BC1" w:rsidRDefault="006B202E" w:rsidP="00D30BC1">
      <w:pPr>
        <w:jc w:val="both"/>
        <w:rPr>
          <w:rFonts w:ascii="Arial" w:hAnsi="Arial" w:cs="Arial"/>
          <w:iCs/>
          <w:sz w:val="20"/>
        </w:rPr>
      </w:pPr>
    </w:p>
    <w:p w14:paraId="5D7D8FDF" w14:textId="77777777" w:rsidR="006B202E" w:rsidRPr="00D30BC1" w:rsidRDefault="006B202E" w:rsidP="00D30BC1">
      <w:pPr>
        <w:jc w:val="both"/>
        <w:rPr>
          <w:rFonts w:ascii="Arial" w:hAnsi="Arial" w:cs="Arial"/>
          <w:sz w:val="20"/>
        </w:rPr>
      </w:pPr>
      <w:r w:rsidRPr="00D30BC1">
        <w:rPr>
          <w:rFonts w:ascii="Arial" w:hAnsi="Arial" w:cs="Arial"/>
          <w:iCs/>
          <w:sz w:val="20"/>
        </w:rPr>
        <w:t xml:space="preserve">The treatment of taxes and the accounting procedures used can also have a significant impact on the </w:t>
      </w:r>
      <w:r w:rsidR="005C56A2">
        <w:rPr>
          <w:rFonts w:ascii="Arial" w:hAnsi="Arial" w:cs="Arial"/>
          <w:iCs/>
          <w:sz w:val="20"/>
        </w:rPr>
        <w:t>Capacity</w:t>
      </w:r>
      <w:r w:rsidR="005C56A2" w:rsidRPr="00D30BC1">
        <w:rPr>
          <w:rFonts w:ascii="Arial" w:hAnsi="Arial" w:cs="Arial"/>
          <w:iCs/>
          <w:sz w:val="20"/>
        </w:rPr>
        <w:t xml:space="preserve"> </w:t>
      </w:r>
      <w:r w:rsidRPr="00D30BC1">
        <w:rPr>
          <w:rFonts w:ascii="Arial" w:hAnsi="Arial" w:cs="Arial"/>
          <w:iCs/>
          <w:sz w:val="20"/>
        </w:rPr>
        <w:t xml:space="preserve">recognized and </w:t>
      </w:r>
      <w:r>
        <w:rPr>
          <w:rFonts w:ascii="Arial" w:hAnsi="Arial" w:cs="Arial"/>
          <w:iCs/>
          <w:sz w:val="20"/>
        </w:rPr>
        <w:t>stor</w:t>
      </w:r>
      <w:r w:rsidR="00241D2A">
        <w:rPr>
          <w:rFonts w:ascii="Arial" w:hAnsi="Arial" w:cs="Arial"/>
          <w:iCs/>
          <w:sz w:val="20"/>
        </w:rPr>
        <w:t xml:space="preserve">ed quantities </w:t>
      </w:r>
      <w:r w:rsidRPr="00D30BC1">
        <w:rPr>
          <w:rFonts w:ascii="Arial" w:hAnsi="Arial" w:cs="Arial"/>
          <w:iCs/>
          <w:sz w:val="20"/>
        </w:rPr>
        <w:t>reported from these contracts.</w:t>
      </w:r>
      <w:r w:rsidRPr="00D30BC1">
        <w:rPr>
          <w:rFonts w:ascii="Arial" w:hAnsi="Arial" w:cs="Arial"/>
          <w:sz w:val="20"/>
        </w:rPr>
        <w:t xml:space="preserve"> </w:t>
      </w:r>
    </w:p>
    <w:p w14:paraId="35054125" w14:textId="77777777" w:rsidR="006B202E" w:rsidRPr="00D30BC1" w:rsidRDefault="006B202E" w:rsidP="00D30BC1">
      <w:pPr>
        <w:rPr>
          <w:rFonts w:ascii="Arial" w:hAnsi="Arial" w:cs="Arial"/>
          <w:i/>
          <w:iCs/>
          <w:sz w:val="20"/>
        </w:rPr>
      </w:pPr>
    </w:p>
    <w:p w14:paraId="25A0E7D5" w14:textId="77777777" w:rsidR="006B202E" w:rsidRPr="00D30BC1" w:rsidRDefault="006B202E" w:rsidP="006B202E">
      <w:pPr>
        <w:pStyle w:val="Heading8"/>
        <w:numPr>
          <w:ilvl w:val="2"/>
          <w:numId w:val="11"/>
        </w:numPr>
      </w:pPr>
      <w:r w:rsidRPr="00D30BC1">
        <w:t xml:space="preserve">Contract Extensions or Renewals </w:t>
      </w:r>
    </w:p>
    <w:p w14:paraId="28EAA37B" w14:textId="77777777" w:rsidR="006B202E" w:rsidRPr="00D30BC1" w:rsidRDefault="006B202E" w:rsidP="00D30BC1">
      <w:pPr>
        <w:pStyle w:val="CommentText"/>
        <w:rPr>
          <w:rFonts w:ascii="Arial" w:hAnsi="Arial" w:cs="Arial"/>
          <w:szCs w:val="24"/>
        </w:rPr>
      </w:pPr>
    </w:p>
    <w:p w14:paraId="4C8E7C00" w14:textId="77777777" w:rsidR="006B202E" w:rsidRPr="00D30BC1" w:rsidRDefault="006B202E" w:rsidP="00D30BC1">
      <w:pPr>
        <w:pStyle w:val="BodyText"/>
        <w:jc w:val="both"/>
      </w:pPr>
      <w:r w:rsidRPr="00D30BC1">
        <w:t xml:space="preserve">As </w:t>
      </w:r>
      <w:r>
        <w:t>injection</w:t>
      </w:r>
      <w:r w:rsidRPr="00D30BC1">
        <w:t xml:space="preserve">-sharing or other types of agreements approach maturity, they can be extended by negotiation for contract extensions, by the exercise of options to extend, or by other means. </w:t>
      </w:r>
    </w:p>
    <w:p w14:paraId="1137EF6F" w14:textId="77777777" w:rsidR="006B202E" w:rsidRPr="00D30BC1" w:rsidRDefault="006B202E" w:rsidP="00D30BC1">
      <w:pPr>
        <w:jc w:val="both"/>
        <w:rPr>
          <w:rFonts w:ascii="Arial" w:hAnsi="Arial" w:cs="Arial"/>
          <w:sz w:val="20"/>
        </w:rPr>
      </w:pPr>
    </w:p>
    <w:p w14:paraId="29E92A3A" w14:textId="77777777" w:rsidR="006B202E" w:rsidRPr="00D30BC1" w:rsidRDefault="00D70889" w:rsidP="00D30BC1">
      <w:pPr>
        <w:pStyle w:val="BodyText"/>
        <w:jc w:val="both"/>
      </w:pPr>
      <w:r>
        <w:t>Capacity</w:t>
      </w:r>
      <w:r w:rsidR="006B202E" w:rsidRPr="00D30BC1">
        <w:t xml:space="preserve"> should not be claimed for those </w:t>
      </w:r>
      <w:r w:rsidR="006B202E">
        <w:t>resource quantities</w:t>
      </w:r>
      <w:r w:rsidR="006B202E" w:rsidRPr="00D30BC1">
        <w:t xml:space="preserve"> that will be </w:t>
      </w:r>
      <w:r>
        <w:t xml:space="preserve">used </w:t>
      </w:r>
      <w:r w:rsidR="006B202E" w:rsidRPr="00D30BC1">
        <w:t xml:space="preserve">beyond the ending date of the current agreement unless there is reasonable expectation that an extension, a renewal, or a new contract will be granted. Such reasonable expectation may be based on the historical treatment of similar agreements by the license-issuing jurisdiction. Otherwise, forecast </w:t>
      </w:r>
      <w:r>
        <w:t xml:space="preserve">of </w:t>
      </w:r>
      <w:r w:rsidR="006B202E">
        <w:t>storage</w:t>
      </w:r>
      <w:r w:rsidR="006B202E" w:rsidRPr="00D30BC1">
        <w:t xml:space="preserve"> </w:t>
      </w:r>
      <w:r w:rsidR="006B202E">
        <w:t xml:space="preserve">resource </w:t>
      </w:r>
      <w:r>
        <w:t xml:space="preserve">usage </w:t>
      </w:r>
      <w:r w:rsidR="006B202E" w:rsidRPr="00D30BC1">
        <w:t xml:space="preserve">beyond the contract term should be classified as </w:t>
      </w:r>
      <w:r w:rsidR="006B202E" w:rsidRPr="00D70889">
        <w:t>Contingent Resources</w:t>
      </w:r>
      <w:r w:rsidR="006B202E" w:rsidRPr="00D30BC1">
        <w:t xml:space="preserve"> with an associated reduced chance of commercialization. Moreover, it may not be reasonable to assume that the fiscal terms in a negotiated extension will be similar to existing terms. </w:t>
      </w:r>
    </w:p>
    <w:p w14:paraId="7105AFAF" w14:textId="77777777" w:rsidR="006B202E" w:rsidRPr="00D30BC1" w:rsidRDefault="006B202E" w:rsidP="00D30BC1">
      <w:pPr>
        <w:jc w:val="both"/>
        <w:rPr>
          <w:rFonts w:ascii="Arial" w:hAnsi="Arial" w:cs="Arial"/>
          <w:i/>
          <w:iCs/>
          <w:sz w:val="20"/>
        </w:rPr>
      </w:pPr>
    </w:p>
    <w:p w14:paraId="0231CAC2" w14:textId="77777777" w:rsidR="006B202E" w:rsidRPr="00D30BC1" w:rsidRDefault="006B202E" w:rsidP="00D30BC1">
      <w:pPr>
        <w:pStyle w:val="BodyText3"/>
        <w:jc w:val="both"/>
      </w:pPr>
      <w:r w:rsidRPr="00D30BC1">
        <w:rPr>
          <w:i w:val="0"/>
          <w:iCs w:val="0"/>
        </w:rPr>
        <w:t xml:space="preserve">Similar logic should be applied where </w:t>
      </w:r>
      <w:r>
        <w:rPr>
          <w:i w:val="0"/>
          <w:iCs w:val="0"/>
        </w:rPr>
        <w:t>third party CO</w:t>
      </w:r>
      <w:r w:rsidRPr="008C5C28">
        <w:rPr>
          <w:i w:val="0"/>
          <w:iCs w:val="0"/>
          <w:vertAlign w:val="subscript"/>
        </w:rPr>
        <w:t>2</w:t>
      </w:r>
      <w:r>
        <w:rPr>
          <w:i w:val="0"/>
          <w:iCs w:val="0"/>
        </w:rPr>
        <w:t xml:space="preserve"> storage</w:t>
      </w:r>
      <w:r w:rsidRPr="00D30BC1">
        <w:rPr>
          <w:i w:val="0"/>
          <w:iCs w:val="0"/>
        </w:rPr>
        <w:t xml:space="preserve"> agreements </w:t>
      </w:r>
      <w:r w:rsidR="005052AB">
        <w:rPr>
          <w:i w:val="0"/>
          <w:iCs w:val="0"/>
        </w:rPr>
        <w:t xml:space="preserve">(e.g. a power generation plant) </w:t>
      </w:r>
      <w:r w:rsidRPr="00D30BC1">
        <w:rPr>
          <w:i w:val="0"/>
          <w:iCs w:val="0"/>
        </w:rPr>
        <w:t>are required to</w:t>
      </w:r>
      <w:r>
        <w:rPr>
          <w:i w:val="0"/>
          <w:iCs w:val="0"/>
        </w:rPr>
        <w:t xml:space="preserve"> generate revenue for the storage project economics</w:t>
      </w:r>
      <w:r w:rsidRPr="00D30BC1">
        <w:rPr>
          <w:i w:val="0"/>
          <w:iCs w:val="0"/>
        </w:rPr>
        <w:t xml:space="preserve">. </w:t>
      </w:r>
      <w:r w:rsidR="00D70889">
        <w:rPr>
          <w:i w:val="0"/>
          <w:iCs w:val="0"/>
        </w:rPr>
        <w:t>Capacity</w:t>
      </w:r>
      <w:r w:rsidRPr="00D30BC1">
        <w:rPr>
          <w:i w:val="0"/>
          <w:iCs w:val="0"/>
        </w:rPr>
        <w:t xml:space="preserve"> should not be claimed for those </w:t>
      </w:r>
      <w:r>
        <w:rPr>
          <w:i w:val="0"/>
          <w:iCs w:val="0"/>
        </w:rPr>
        <w:t xml:space="preserve">storage resource </w:t>
      </w:r>
      <w:r w:rsidRPr="00D30BC1">
        <w:rPr>
          <w:i w:val="0"/>
          <w:iCs w:val="0"/>
        </w:rPr>
        <w:t xml:space="preserve">quantities that will be </w:t>
      </w:r>
      <w:r>
        <w:rPr>
          <w:i w:val="0"/>
          <w:iCs w:val="0"/>
        </w:rPr>
        <w:t>u</w:t>
      </w:r>
      <w:r w:rsidR="005052AB">
        <w:rPr>
          <w:i w:val="0"/>
          <w:iCs w:val="0"/>
        </w:rPr>
        <w:t>s</w:t>
      </w:r>
      <w:r>
        <w:rPr>
          <w:i w:val="0"/>
          <w:iCs w:val="0"/>
        </w:rPr>
        <w:t>ed</w:t>
      </w:r>
      <w:r w:rsidRPr="00D30BC1">
        <w:rPr>
          <w:i w:val="0"/>
          <w:iCs w:val="0"/>
        </w:rPr>
        <w:t xml:space="preserve"> beyond those specified in the current agreement or reasonably forecast to be included in future agreements</w:t>
      </w:r>
      <w:r w:rsidRPr="00D30BC1">
        <w:t>.</w:t>
      </w:r>
    </w:p>
    <w:p w14:paraId="4B3C2375" w14:textId="77777777" w:rsidR="006B202E" w:rsidRPr="00D30BC1" w:rsidRDefault="006B202E" w:rsidP="00D30BC1">
      <w:pPr>
        <w:pStyle w:val="BodyText3"/>
        <w:jc w:val="both"/>
      </w:pPr>
    </w:p>
    <w:p w14:paraId="5D291513" w14:textId="77777777" w:rsidR="006B202E" w:rsidRPr="008C5C28" w:rsidRDefault="006B202E" w:rsidP="001642F3">
      <w:pPr>
        <w:pStyle w:val="CommentText"/>
        <w:rPr>
          <w:rFonts w:ascii="Arial" w:hAnsi="Arial" w:cs="Arial"/>
        </w:rPr>
      </w:pPr>
      <w:r w:rsidRPr="008C5C28">
        <w:rPr>
          <w:rFonts w:ascii="Arial" w:hAnsi="Arial" w:cs="Arial"/>
        </w:rPr>
        <w:t xml:space="preserve">Where the risk of cessation of rights to inject or inability to secure </w:t>
      </w:r>
      <w:r>
        <w:rPr>
          <w:rFonts w:ascii="Arial" w:hAnsi="Arial" w:cs="Arial"/>
        </w:rPr>
        <w:t>CO</w:t>
      </w:r>
      <w:r w:rsidRPr="0004759A">
        <w:rPr>
          <w:rFonts w:ascii="Arial" w:hAnsi="Arial" w:cs="Arial"/>
          <w:vertAlign w:val="subscript"/>
        </w:rPr>
        <w:t>2</w:t>
      </w:r>
      <w:r>
        <w:rPr>
          <w:rFonts w:ascii="Arial" w:hAnsi="Arial" w:cs="Arial"/>
        </w:rPr>
        <w:t xml:space="preserve"> for storage through a storage</w:t>
      </w:r>
      <w:r w:rsidRPr="008C5C28">
        <w:rPr>
          <w:rFonts w:ascii="Arial" w:hAnsi="Arial" w:cs="Arial"/>
        </w:rPr>
        <w:t xml:space="preserve"> contracts</w:t>
      </w:r>
      <w:r>
        <w:rPr>
          <w:rFonts w:ascii="Arial" w:hAnsi="Arial" w:cs="Arial"/>
        </w:rPr>
        <w:t xml:space="preserve"> or continued integration with a CO</w:t>
      </w:r>
      <w:r w:rsidRPr="0004759A">
        <w:rPr>
          <w:rFonts w:ascii="Arial" w:hAnsi="Arial" w:cs="Arial"/>
          <w:vertAlign w:val="subscript"/>
        </w:rPr>
        <w:t>2</w:t>
      </w:r>
      <w:r>
        <w:rPr>
          <w:rFonts w:ascii="Arial" w:hAnsi="Arial" w:cs="Arial"/>
        </w:rPr>
        <w:t xml:space="preserve"> </w:t>
      </w:r>
      <w:r w:rsidR="00181E1C">
        <w:rPr>
          <w:rFonts w:ascii="Arial" w:hAnsi="Arial" w:cs="Arial"/>
        </w:rPr>
        <w:t>generating</w:t>
      </w:r>
      <w:r>
        <w:rPr>
          <w:rFonts w:ascii="Arial" w:hAnsi="Arial" w:cs="Arial"/>
        </w:rPr>
        <w:t xml:space="preserve"> project</w:t>
      </w:r>
      <w:r w:rsidRPr="008C5C28">
        <w:rPr>
          <w:rFonts w:ascii="Arial" w:hAnsi="Arial" w:cs="Arial"/>
        </w:rPr>
        <w:t xml:space="preserve"> is not considered significant, evaluators may choose to incorporate the uncertainty by categorizing quantities to be stored beyond the current contract as </w:t>
      </w:r>
      <w:r w:rsidRPr="00D70889">
        <w:rPr>
          <w:rFonts w:ascii="Arial" w:hAnsi="Arial" w:cs="Arial"/>
        </w:rPr>
        <w:t xml:space="preserve">Probable or Possible </w:t>
      </w:r>
      <w:r w:rsidR="00D70889" w:rsidRPr="00D70889">
        <w:rPr>
          <w:rFonts w:ascii="Arial" w:hAnsi="Arial" w:cs="Arial"/>
        </w:rPr>
        <w:t>Capacity</w:t>
      </w:r>
      <w:r w:rsidRPr="00D70889">
        <w:rPr>
          <w:rFonts w:ascii="Arial" w:hAnsi="Arial" w:cs="Arial"/>
        </w:rPr>
        <w:t>.</w:t>
      </w:r>
      <w:r w:rsidRPr="008C5C28" w:rsidDel="00953646">
        <w:rPr>
          <w:rFonts w:ascii="Arial" w:hAnsi="Arial" w:cs="Arial"/>
        </w:rPr>
        <w:t xml:space="preserve"> </w:t>
      </w:r>
    </w:p>
    <w:p w14:paraId="0C1A5505" w14:textId="77777777" w:rsidR="006B202E" w:rsidRPr="00D30BC1" w:rsidRDefault="006B202E" w:rsidP="00D30BC1">
      <w:pPr>
        <w:pStyle w:val="Heading2"/>
        <w:rPr>
          <w:b w:val="0"/>
          <w:bCs w:val="0"/>
          <w:strike/>
          <w:sz w:val="20"/>
          <w:lang w:val="en-CA"/>
        </w:rPr>
      </w:pPr>
    </w:p>
    <w:p w14:paraId="693C4F7F" w14:textId="77777777" w:rsidR="006B202E" w:rsidRPr="00D30BC1" w:rsidRDefault="006B202E" w:rsidP="00D30BC1">
      <w:pPr>
        <w:pStyle w:val="BodyText"/>
        <w:jc w:val="both"/>
        <w:rPr>
          <w:b/>
          <w:bCs/>
          <w:sz w:val="32"/>
        </w:rPr>
      </w:pPr>
      <w:r w:rsidRPr="00D30BC1">
        <w:rPr>
          <w:b/>
          <w:bCs/>
          <w:sz w:val="32"/>
        </w:rPr>
        <w:t>4.0</w:t>
      </w:r>
      <w:r w:rsidRPr="00D30BC1">
        <w:t xml:space="preserve">  </w:t>
      </w:r>
      <w:r w:rsidRPr="00D30BC1">
        <w:rPr>
          <w:b/>
          <w:bCs/>
          <w:sz w:val="32"/>
        </w:rPr>
        <w:t xml:space="preserve"> Estimating </w:t>
      </w:r>
      <w:r>
        <w:rPr>
          <w:b/>
          <w:bCs/>
          <w:sz w:val="32"/>
        </w:rPr>
        <w:t>Storable</w:t>
      </w:r>
      <w:r w:rsidRPr="00D30BC1">
        <w:rPr>
          <w:b/>
          <w:bCs/>
          <w:sz w:val="32"/>
        </w:rPr>
        <w:t xml:space="preserve"> Quantities</w:t>
      </w:r>
    </w:p>
    <w:p w14:paraId="49C29B32" w14:textId="77777777" w:rsidR="006B202E" w:rsidRDefault="006B202E" w:rsidP="00D30BC1">
      <w:pPr>
        <w:jc w:val="both"/>
        <w:rPr>
          <w:rFonts w:ascii="Arial" w:hAnsi="Arial" w:cs="Arial"/>
          <w:sz w:val="20"/>
        </w:rPr>
      </w:pPr>
    </w:p>
    <w:p w14:paraId="49C8A1C2" w14:textId="77777777" w:rsidR="006B202E" w:rsidRPr="00D30BC1" w:rsidRDefault="006B202E" w:rsidP="00D30BC1">
      <w:pPr>
        <w:jc w:val="both"/>
        <w:rPr>
          <w:rFonts w:ascii="Arial" w:hAnsi="Arial" w:cs="Arial"/>
          <w:sz w:val="20"/>
        </w:rPr>
      </w:pPr>
      <w:r w:rsidRPr="00D30BC1">
        <w:rPr>
          <w:rFonts w:ascii="Arial" w:hAnsi="Arial" w:cs="Arial"/>
          <w:sz w:val="20"/>
        </w:rPr>
        <w:t xml:space="preserve">Assuming that projects have been classified according to their project maturity, the estimation of associated </w:t>
      </w:r>
      <w:r>
        <w:rPr>
          <w:rFonts w:ascii="Arial" w:hAnsi="Arial" w:cs="Arial"/>
          <w:sz w:val="20"/>
        </w:rPr>
        <w:t>storable</w:t>
      </w:r>
      <w:r w:rsidRPr="00D30BC1">
        <w:rPr>
          <w:rFonts w:ascii="Arial" w:hAnsi="Arial" w:cs="Arial"/>
          <w:sz w:val="20"/>
        </w:rPr>
        <w:t xml:space="preserve"> quantities under a defined project and their assignment to uncertainty categories may be based on one or a combination of analytical procedures. Such procedures may be applied using an incremental (risk-based) and/or scenario approach; moreover, the method of assessing relative uncertainty in these estimates of </w:t>
      </w:r>
      <w:r>
        <w:rPr>
          <w:rFonts w:ascii="Arial" w:hAnsi="Arial" w:cs="Arial"/>
          <w:sz w:val="20"/>
        </w:rPr>
        <w:t>storable</w:t>
      </w:r>
      <w:r w:rsidRPr="00D30BC1">
        <w:rPr>
          <w:rFonts w:ascii="Arial" w:hAnsi="Arial" w:cs="Arial"/>
          <w:sz w:val="20"/>
        </w:rPr>
        <w:t xml:space="preserve"> quantities may employ both deterministic and probabilistic methods.</w:t>
      </w:r>
    </w:p>
    <w:p w14:paraId="30F26C17" w14:textId="77777777" w:rsidR="006B202E" w:rsidRPr="00D30BC1" w:rsidRDefault="006B202E" w:rsidP="00D30BC1">
      <w:pPr>
        <w:pStyle w:val="CommentText"/>
        <w:rPr>
          <w:rFonts w:ascii="Arial" w:hAnsi="Arial" w:cs="Arial"/>
          <w:szCs w:val="24"/>
        </w:rPr>
      </w:pPr>
    </w:p>
    <w:p w14:paraId="5F297550" w14:textId="77777777" w:rsidR="006B202E" w:rsidRPr="00D30BC1" w:rsidRDefault="006B202E" w:rsidP="00D30BC1">
      <w:pPr>
        <w:pStyle w:val="Heading2"/>
        <w:rPr>
          <w:b w:val="0"/>
          <w:bCs w:val="0"/>
          <w:sz w:val="32"/>
        </w:rPr>
      </w:pPr>
      <w:r w:rsidRPr="00D30BC1">
        <w:t>4.1</w:t>
      </w:r>
      <w:r w:rsidRPr="00D30BC1">
        <w:tab/>
        <w:t>Analytical Procedures</w:t>
      </w:r>
    </w:p>
    <w:p w14:paraId="5486586D" w14:textId="77777777" w:rsidR="006B202E" w:rsidRPr="00D30BC1" w:rsidRDefault="006B202E" w:rsidP="00D30BC1">
      <w:pPr>
        <w:pStyle w:val="BodyText"/>
      </w:pPr>
    </w:p>
    <w:p w14:paraId="40FB29AF" w14:textId="77777777" w:rsidR="006B202E" w:rsidRPr="00D30BC1" w:rsidRDefault="006B202E" w:rsidP="00D30BC1">
      <w:pPr>
        <w:pStyle w:val="BodyText"/>
        <w:jc w:val="both"/>
      </w:pPr>
      <w:r w:rsidRPr="00D30BC1">
        <w:t xml:space="preserve">The analytical procedures for estimating </w:t>
      </w:r>
      <w:r>
        <w:t>storable</w:t>
      </w:r>
      <w:r w:rsidRPr="00D30BC1">
        <w:t xml:space="preserve"> quantities fall into three broad categories: (a) analogy, (b) volumetric estimates, and (c) performance-based estimates, which include material balance</w:t>
      </w:r>
      <w:r>
        <w:t xml:space="preserve"> </w:t>
      </w:r>
      <w:r w:rsidRPr="00D30BC1">
        <w:t xml:space="preserve">and other </w:t>
      </w:r>
      <w:r>
        <w:t>injection</w:t>
      </w:r>
      <w:r w:rsidRPr="00D30BC1">
        <w:t xml:space="preserve"> performance analyses. Reservoir simulation may be used in either volumetric or performance-based analyses. Pre- and early post-discovery assessments are typically made with analog field/project data and volumetric estimation. After </w:t>
      </w:r>
      <w:r>
        <w:t>injection</w:t>
      </w:r>
      <w:r w:rsidRPr="00D30BC1">
        <w:t xml:space="preserve"> commences and </w:t>
      </w:r>
      <w:r>
        <w:t>injection</w:t>
      </w:r>
      <w:r w:rsidRPr="00D30BC1">
        <w:t xml:space="preserve"> rates and pressure information become available, performance-based methods can be applied</w:t>
      </w:r>
      <w:r>
        <w:t xml:space="preserve"> with site-specific data to improve the storage quantity estimate</w:t>
      </w:r>
      <w:r w:rsidRPr="00D30BC1">
        <w:t xml:space="preserve">. </w:t>
      </w:r>
    </w:p>
    <w:p w14:paraId="7E7B017A" w14:textId="77777777" w:rsidR="006B202E" w:rsidRPr="00D30BC1" w:rsidRDefault="006B202E" w:rsidP="00D30BC1">
      <w:pPr>
        <w:pStyle w:val="BodyText"/>
        <w:jc w:val="both"/>
      </w:pPr>
    </w:p>
    <w:p w14:paraId="4FF49C88" w14:textId="77777777" w:rsidR="006B202E" w:rsidRPr="00D30BC1" w:rsidRDefault="006B202E" w:rsidP="00D30BC1">
      <w:pPr>
        <w:jc w:val="both"/>
        <w:rPr>
          <w:rFonts w:ascii="Arial" w:hAnsi="Arial" w:cs="Arial"/>
          <w:sz w:val="20"/>
        </w:rPr>
      </w:pPr>
      <w:r w:rsidRPr="00D30BC1">
        <w:rPr>
          <w:rFonts w:ascii="Arial" w:hAnsi="Arial" w:cs="Arial"/>
          <w:sz w:val="20"/>
        </w:rPr>
        <w:t xml:space="preserve">In each procedural method, results are not a single quantity of remaining </w:t>
      </w:r>
      <w:r w:rsidR="00427A8A">
        <w:rPr>
          <w:rFonts w:ascii="Arial" w:hAnsi="Arial" w:cs="Arial"/>
          <w:sz w:val="20"/>
        </w:rPr>
        <w:t>storage</w:t>
      </w:r>
      <w:r w:rsidRPr="00D30BC1">
        <w:rPr>
          <w:rFonts w:ascii="Arial" w:hAnsi="Arial" w:cs="Arial"/>
          <w:sz w:val="20"/>
        </w:rPr>
        <w:t xml:space="preserve">, but rather a range that reflects the underlying uncertainties in both the </w:t>
      </w:r>
      <w:r w:rsidR="00427A8A">
        <w:rPr>
          <w:rFonts w:ascii="Arial" w:hAnsi="Arial" w:cs="Arial"/>
          <w:sz w:val="20"/>
        </w:rPr>
        <w:t xml:space="preserve">storage quantities </w:t>
      </w:r>
      <w:r w:rsidRPr="00D30BC1">
        <w:rPr>
          <w:rFonts w:ascii="Arial" w:hAnsi="Arial" w:cs="Arial"/>
          <w:sz w:val="20"/>
        </w:rPr>
        <w:t xml:space="preserve">and the </w:t>
      </w:r>
      <w:r>
        <w:rPr>
          <w:rFonts w:ascii="Arial" w:hAnsi="Arial" w:cs="Arial"/>
          <w:sz w:val="20"/>
        </w:rPr>
        <w:t>storage</w:t>
      </w:r>
      <w:r w:rsidRPr="00D30BC1">
        <w:rPr>
          <w:rFonts w:ascii="Arial" w:hAnsi="Arial" w:cs="Arial"/>
          <w:sz w:val="20"/>
        </w:rPr>
        <w:t xml:space="preserve"> efficiency of the applied development project. By applying consistent guidelines </w:t>
      </w:r>
      <w:r w:rsidRPr="0063564C">
        <w:rPr>
          <w:rFonts w:ascii="Arial" w:hAnsi="Arial" w:cs="Arial"/>
          <w:sz w:val="20"/>
        </w:rPr>
        <w:t>(see Resources Categorization, section 2.2.),</w:t>
      </w:r>
      <w:r w:rsidRPr="00D30BC1">
        <w:rPr>
          <w:rFonts w:ascii="Arial" w:hAnsi="Arial" w:cs="Arial"/>
          <w:sz w:val="20"/>
        </w:rPr>
        <w:t xml:space="preserve"> evaluators can define remaining </w:t>
      </w:r>
      <w:r>
        <w:rPr>
          <w:rFonts w:ascii="Arial" w:hAnsi="Arial" w:cs="Arial"/>
          <w:sz w:val="20"/>
        </w:rPr>
        <w:t>storable</w:t>
      </w:r>
      <w:r w:rsidRPr="00D30BC1">
        <w:rPr>
          <w:rFonts w:ascii="Arial" w:hAnsi="Arial" w:cs="Arial"/>
          <w:sz w:val="20"/>
        </w:rPr>
        <w:t xml:space="preserve"> quantities using either the incremental or cumulative scenario approach. The confidence in assessment results generally increases when the estimates are supported by more than one analytical procedure.</w:t>
      </w:r>
    </w:p>
    <w:p w14:paraId="7625E6F1" w14:textId="77777777" w:rsidR="006B202E" w:rsidRPr="00D30BC1" w:rsidRDefault="006B202E" w:rsidP="00D30BC1">
      <w:pPr>
        <w:pStyle w:val="BodyText"/>
        <w:rPr>
          <w:b/>
          <w:bCs/>
        </w:rPr>
      </w:pPr>
    </w:p>
    <w:p w14:paraId="2719AE14" w14:textId="77777777" w:rsidR="006B202E" w:rsidRPr="00D30BC1" w:rsidRDefault="006B202E" w:rsidP="00D30BC1">
      <w:pPr>
        <w:pStyle w:val="Heading8"/>
      </w:pPr>
      <w:r w:rsidRPr="00D30BC1">
        <w:t xml:space="preserve">4.1.1 </w:t>
      </w:r>
      <w:r w:rsidRPr="00D30BC1">
        <w:tab/>
        <w:t xml:space="preserve">Analogs </w:t>
      </w:r>
    </w:p>
    <w:p w14:paraId="1F37F8EE" w14:textId="77777777" w:rsidR="006B202E" w:rsidRPr="00D30BC1" w:rsidRDefault="006B202E" w:rsidP="00D30BC1">
      <w:pPr>
        <w:rPr>
          <w:rFonts w:ascii="Arial" w:hAnsi="Arial" w:cs="Arial"/>
          <w:i/>
          <w:iCs/>
          <w:sz w:val="20"/>
          <w:lang w:val="en-CA"/>
        </w:rPr>
      </w:pPr>
    </w:p>
    <w:p w14:paraId="415576C3" w14:textId="77777777" w:rsidR="006B202E" w:rsidRPr="00D30BC1" w:rsidRDefault="006B202E" w:rsidP="00D30BC1">
      <w:pPr>
        <w:jc w:val="both"/>
        <w:rPr>
          <w:rFonts w:ascii="Arial" w:hAnsi="Arial" w:cs="Arial"/>
          <w:sz w:val="20"/>
          <w:lang w:val="en-CA"/>
        </w:rPr>
      </w:pPr>
      <w:r w:rsidRPr="00D30BC1">
        <w:rPr>
          <w:rFonts w:ascii="Arial" w:hAnsi="Arial" w:cs="Arial"/>
          <w:sz w:val="20"/>
          <w:lang w:val="en-CA"/>
        </w:rPr>
        <w:t xml:space="preserve">Analogs are widely used in </w:t>
      </w:r>
      <w:r>
        <w:rPr>
          <w:rFonts w:ascii="Arial" w:hAnsi="Arial" w:cs="Arial"/>
          <w:sz w:val="20"/>
          <w:lang w:val="en-CA"/>
        </w:rPr>
        <w:t xml:space="preserve">petroleum </w:t>
      </w:r>
      <w:r w:rsidRPr="00D30BC1">
        <w:rPr>
          <w:rFonts w:ascii="Arial" w:hAnsi="Arial" w:cs="Arial"/>
          <w:sz w:val="20"/>
          <w:lang w:val="en-CA"/>
        </w:rPr>
        <w:t xml:space="preserve">resources estimation, particularly in the exploration and early development stages, when direct measurement information is limited. The methodology is based </w:t>
      </w:r>
      <w:r w:rsidRPr="00427A8A">
        <w:rPr>
          <w:rFonts w:ascii="Arial" w:hAnsi="Arial" w:cs="Arial"/>
          <w:sz w:val="20"/>
          <w:lang w:val="en-CA"/>
        </w:rPr>
        <w:t>on the assumption that the analogous reservoir is comparable to the subject reservoir regarding reservoir and fluid properties that control ultimate storage of CO</w:t>
      </w:r>
      <w:r w:rsidRPr="00427A8A">
        <w:rPr>
          <w:rFonts w:ascii="Arial" w:hAnsi="Arial" w:cs="Arial"/>
          <w:sz w:val="20"/>
          <w:vertAlign w:val="subscript"/>
          <w:lang w:val="en-CA"/>
        </w:rPr>
        <w:t>2</w:t>
      </w:r>
      <w:r w:rsidRPr="00427A8A">
        <w:rPr>
          <w:rFonts w:ascii="Arial" w:hAnsi="Arial" w:cs="Arial"/>
          <w:sz w:val="20"/>
          <w:lang w:val="en-CA"/>
        </w:rPr>
        <w:t>.  By</w:t>
      </w:r>
      <w:r w:rsidRPr="00D30BC1">
        <w:rPr>
          <w:rFonts w:ascii="Arial" w:hAnsi="Arial" w:cs="Arial"/>
          <w:sz w:val="20"/>
          <w:lang w:val="en-CA"/>
        </w:rPr>
        <w:t xml:space="preserve"> selecting appropriate analogs, where performance data based on comparable development plans (including well type, well spacing and stimulation) are available, a similar </w:t>
      </w:r>
      <w:r>
        <w:rPr>
          <w:rFonts w:ascii="Arial" w:hAnsi="Arial" w:cs="Arial"/>
          <w:sz w:val="20"/>
          <w:lang w:val="en-CA"/>
        </w:rPr>
        <w:t>injection</w:t>
      </w:r>
      <w:r w:rsidRPr="00D30BC1">
        <w:rPr>
          <w:rFonts w:ascii="Arial" w:hAnsi="Arial" w:cs="Arial"/>
          <w:sz w:val="20"/>
          <w:lang w:val="en-CA"/>
        </w:rPr>
        <w:t xml:space="preserve"> </w:t>
      </w:r>
      <w:r w:rsidR="00427A8A">
        <w:rPr>
          <w:rFonts w:ascii="Arial" w:hAnsi="Arial" w:cs="Arial"/>
          <w:sz w:val="20"/>
          <w:lang w:val="en-CA"/>
        </w:rPr>
        <w:t>schedule</w:t>
      </w:r>
      <w:r w:rsidRPr="00D30BC1">
        <w:rPr>
          <w:rFonts w:ascii="Arial" w:hAnsi="Arial" w:cs="Arial"/>
          <w:sz w:val="20"/>
          <w:lang w:val="en-CA"/>
        </w:rPr>
        <w:t xml:space="preserve"> may be forecast. </w:t>
      </w:r>
      <w:r w:rsidR="00987921">
        <w:rPr>
          <w:rFonts w:ascii="Arial" w:hAnsi="Arial" w:cs="Arial"/>
          <w:sz w:val="20"/>
          <w:lang w:val="en-CA"/>
        </w:rPr>
        <w:t>Choice of analogous projects</w:t>
      </w:r>
      <w:r w:rsidR="00987921" w:rsidRPr="00987921">
        <w:rPr>
          <w:rFonts w:ascii="Arial" w:hAnsi="Arial" w:cs="Arial"/>
          <w:sz w:val="20"/>
          <w:lang w:val="en-CA"/>
        </w:rPr>
        <w:t xml:space="preserve"> (e.g. CO2 injection or CO2 injection with brine extraction)</w:t>
      </w:r>
      <w:r w:rsidR="00987921">
        <w:rPr>
          <w:rFonts w:ascii="Arial" w:hAnsi="Arial" w:cs="Arial"/>
          <w:sz w:val="20"/>
          <w:lang w:val="en-CA"/>
        </w:rPr>
        <w:t xml:space="preserve"> is also important.</w:t>
      </w:r>
    </w:p>
    <w:p w14:paraId="06B9E871" w14:textId="77777777" w:rsidR="006B202E" w:rsidRPr="00D30BC1" w:rsidRDefault="006B202E" w:rsidP="00D30BC1">
      <w:pPr>
        <w:jc w:val="both"/>
        <w:rPr>
          <w:rFonts w:ascii="Arial" w:hAnsi="Arial" w:cs="Arial"/>
          <w:sz w:val="20"/>
          <w:lang w:val="en-CA"/>
        </w:rPr>
      </w:pPr>
    </w:p>
    <w:p w14:paraId="2516E31C" w14:textId="77777777" w:rsidR="006B202E" w:rsidRPr="00D30BC1" w:rsidRDefault="003664D5" w:rsidP="00D30BC1">
      <w:pPr>
        <w:pStyle w:val="BodyText"/>
        <w:jc w:val="both"/>
        <w:rPr>
          <w:szCs w:val="22"/>
        </w:rPr>
      </w:pPr>
      <w:r>
        <w:rPr>
          <w:szCs w:val="22"/>
        </w:rPr>
        <w:t>Analogous</w:t>
      </w:r>
      <w:r w:rsidR="006B202E">
        <w:rPr>
          <w:szCs w:val="22"/>
        </w:rPr>
        <w:t xml:space="preserve"> </w:t>
      </w:r>
      <w:r w:rsidR="0071688A">
        <w:rPr>
          <w:szCs w:val="22"/>
        </w:rPr>
        <w:t>formations in which CO</w:t>
      </w:r>
      <w:r w:rsidR="0071688A" w:rsidRPr="0063564C">
        <w:rPr>
          <w:szCs w:val="22"/>
          <w:vertAlign w:val="subscript"/>
        </w:rPr>
        <w:t>2</w:t>
      </w:r>
      <w:r w:rsidR="0071688A">
        <w:rPr>
          <w:szCs w:val="22"/>
        </w:rPr>
        <w:t xml:space="preserve"> has been stored </w:t>
      </w:r>
      <w:r w:rsidR="006B202E" w:rsidRPr="00D30BC1">
        <w:rPr>
          <w:szCs w:val="22"/>
        </w:rPr>
        <w:t>are defined by features and characteristics including, but not limited to, approximate depth, pressure, temperature,</w:t>
      </w:r>
      <w:r w:rsidR="0063564C">
        <w:rPr>
          <w:szCs w:val="22"/>
        </w:rPr>
        <w:t xml:space="preserve"> natural drive mechanisms (e.g. closed system and strong aquifer), </w:t>
      </w:r>
      <w:r w:rsidR="006B202E" w:rsidRPr="00D30BC1">
        <w:rPr>
          <w:szCs w:val="22"/>
        </w:rPr>
        <w:t xml:space="preserve"> </w:t>
      </w:r>
      <w:r w:rsidR="0071688A" w:rsidRPr="0071688A">
        <w:rPr>
          <w:szCs w:val="22"/>
        </w:rPr>
        <w:t>in situ brine and CO</w:t>
      </w:r>
      <w:r w:rsidR="0071688A" w:rsidRPr="0063564C">
        <w:rPr>
          <w:szCs w:val="22"/>
          <w:vertAlign w:val="subscript"/>
        </w:rPr>
        <w:t>2</w:t>
      </w:r>
      <w:r w:rsidR="0071688A" w:rsidRPr="0071688A">
        <w:rPr>
          <w:szCs w:val="22"/>
        </w:rPr>
        <w:t xml:space="preserve"> stream </w:t>
      </w:r>
      <w:r w:rsidR="006B202E" w:rsidRPr="0071688A">
        <w:rPr>
          <w:szCs w:val="22"/>
        </w:rPr>
        <w:t>composition</w:t>
      </w:r>
      <w:r w:rsidR="006B202E" w:rsidRPr="00D30BC1">
        <w:rPr>
          <w:szCs w:val="22"/>
        </w:rPr>
        <w:t xml:space="preserve">, </w:t>
      </w:r>
      <w:r w:rsidR="000A72D0">
        <w:rPr>
          <w:szCs w:val="22"/>
        </w:rPr>
        <w:t>formation</w:t>
      </w:r>
      <w:r w:rsidR="006B202E" w:rsidRPr="00D30BC1">
        <w:rPr>
          <w:szCs w:val="22"/>
        </w:rPr>
        <w:t xml:space="preserve"> size, gross thickness, </w:t>
      </w:r>
      <w:r w:rsidR="006B202E">
        <w:rPr>
          <w:szCs w:val="22"/>
        </w:rPr>
        <w:t>net</w:t>
      </w:r>
      <w:r w:rsidR="006B202E" w:rsidRPr="00D30BC1">
        <w:rPr>
          <w:szCs w:val="22"/>
        </w:rPr>
        <w:t xml:space="preserve"> thickness, net-to-gross ratio, lithology, heterogeneity, porosity, permeability, </w:t>
      </w:r>
      <w:r w:rsidR="006B202E">
        <w:rPr>
          <w:szCs w:val="22"/>
        </w:rPr>
        <w:t xml:space="preserve">seal structure, presence of </w:t>
      </w:r>
      <w:r>
        <w:rPr>
          <w:szCs w:val="22"/>
        </w:rPr>
        <w:t xml:space="preserve">existing </w:t>
      </w:r>
      <w:r w:rsidR="006B202E">
        <w:rPr>
          <w:szCs w:val="22"/>
        </w:rPr>
        <w:t xml:space="preserve">wells </w:t>
      </w:r>
      <w:r w:rsidR="006B202E" w:rsidRPr="00D30BC1">
        <w:rPr>
          <w:szCs w:val="22"/>
        </w:rPr>
        <w:t xml:space="preserve">and development plan. Analogous </w:t>
      </w:r>
      <w:r w:rsidR="0071688A">
        <w:rPr>
          <w:szCs w:val="22"/>
        </w:rPr>
        <w:t xml:space="preserve">formations in which CO2 has been stored </w:t>
      </w:r>
      <w:r w:rsidR="006B202E" w:rsidRPr="00D30BC1">
        <w:rPr>
          <w:szCs w:val="22"/>
        </w:rPr>
        <w:t>are formed by the same, or very similar, processes with regard to sedimentation, diagenesis, pressure, temperature, chemical and mechanical history, and structural deformation.</w:t>
      </w:r>
    </w:p>
    <w:p w14:paraId="7A137B84" w14:textId="77777777" w:rsidR="006B202E" w:rsidRDefault="006B202E" w:rsidP="00D30BC1">
      <w:pPr>
        <w:jc w:val="both"/>
        <w:rPr>
          <w:rFonts w:ascii="Arial" w:hAnsi="Arial" w:cs="Arial"/>
          <w:sz w:val="20"/>
          <w:lang w:val="en-CA"/>
        </w:rPr>
      </w:pPr>
      <w:r w:rsidRPr="00D30BC1">
        <w:rPr>
          <w:rFonts w:ascii="Arial" w:hAnsi="Arial" w:cs="Arial"/>
          <w:sz w:val="20"/>
          <w:lang w:val="en-CA"/>
        </w:rPr>
        <w:t xml:space="preserve">Comparison to several analogs may improve the range of uncertainty in estimated </w:t>
      </w:r>
      <w:r>
        <w:rPr>
          <w:rFonts w:ascii="Arial" w:hAnsi="Arial" w:cs="Arial"/>
          <w:sz w:val="20"/>
          <w:lang w:val="en-CA"/>
        </w:rPr>
        <w:t>storable</w:t>
      </w:r>
      <w:r w:rsidRPr="00D30BC1">
        <w:rPr>
          <w:rFonts w:ascii="Arial" w:hAnsi="Arial" w:cs="Arial"/>
          <w:sz w:val="20"/>
          <w:lang w:val="en-CA"/>
        </w:rPr>
        <w:t xml:space="preserve"> quantities </w:t>
      </w:r>
      <w:r>
        <w:rPr>
          <w:rFonts w:ascii="Arial" w:hAnsi="Arial" w:cs="Arial"/>
          <w:sz w:val="20"/>
          <w:lang w:val="en-CA"/>
        </w:rPr>
        <w:t>in</w:t>
      </w:r>
      <w:r w:rsidRPr="00D30BC1">
        <w:rPr>
          <w:rFonts w:ascii="Arial" w:hAnsi="Arial" w:cs="Arial"/>
          <w:sz w:val="20"/>
          <w:lang w:val="en-CA"/>
        </w:rPr>
        <w:t xml:space="preserve"> the subject </w:t>
      </w:r>
      <w:r w:rsidR="000A72D0">
        <w:rPr>
          <w:rFonts w:ascii="Arial" w:hAnsi="Arial" w:cs="Arial"/>
          <w:sz w:val="20"/>
          <w:lang w:val="en-CA"/>
        </w:rPr>
        <w:t>formation</w:t>
      </w:r>
      <w:r w:rsidRPr="00D30BC1">
        <w:rPr>
          <w:rFonts w:ascii="Arial" w:hAnsi="Arial" w:cs="Arial"/>
          <w:sz w:val="20"/>
          <w:lang w:val="en-CA"/>
        </w:rPr>
        <w:t xml:space="preserve">. </w:t>
      </w:r>
      <w:r w:rsidRPr="00D30BC1">
        <w:rPr>
          <w:rFonts w:ascii="Arial" w:hAnsi="Arial" w:cs="Arial"/>
          <w:sz w:val="20"/>
          <w:szCs w:val="22"/>
        </w:rPr>
        <w:t xml:space="preserve">While </w:t>
      </w:r>
      <w:r w:rsidR="000A72D0">
        <w:rPr>
          <w:rFonts w:ascii="Arial" w:hAnsi="Arial" w:cs="Arial"/>
          <w:sz w:val="20"/>
          <w:szCs w:val="22"/>
        </w:rPr>
        <w:t>formations with stored CO</w:t>
      </w:r>
      <w:r w:rsidR="000A72D0" w:rsidRPr="000A72D0">
        <w:rPr>
          <w:rFonts w:ascii="Arial" w:hAnsi="Arial" w:cs="Arial"/>
          <w:sz w:val="20"/>
          <w:szCs w:val="22"/>
          <w:vertAlign w:val="subscript"/>
        </w:rPr>
        <w:t>2</w:t>
      </w:r>
      <w:r w:rsidR="000A72D0">
        <w:rPr>
          <w:rFonts w:ascii="Arial" w:hAnsi="Arial" w:cs="Arial"/>
          <w:sz w:val="20"/>
          <w:szCs w:val="22"/>
        </w:rPr>
        <w:t xml:space="preserve"> </w:t>
      </w:r>
      <w:r w:rsidRPr="00D30BC1">
        <w:rPr>
          <w:rFonts w:ascii="Arial" w:hAnsi="Arial" w:cs="Arial"/>
          <w:sz w:val="20"/>
          <w:szCs w:val="22"/>
        </w:rPr>
        <w:t>in the same geographic area and of the same age typically provide better analogs, such proximity alone may not be the primary consideration. In all cases, evaluators should document the similarities and differences between the analog and the subject reservoir/</w:t>
      </w:r>
      <w:r>
        <w:rPr>
          <w:rFonts w:ascii="Arial" w:hAnsi="Arial" w:cs="Arial"/>
          <w:sz w:val="20"/>
          <w:szCs w:val="22"/>
        </w:rPr>
        <w:t>seal/</w:t>
      </w:r>
      <w:r w:rsidRPr="00D30BC1">
        <w:rPr>
          <w:rFonts w:ascii="Arial" w:hAnsi="Arial" w:cs="Arial"/>
          <w:sz w:val="20"/>
          <w:szCs w:val="22"/>
        </w:rPr>
        <w:t xml:space="preserve">project. </w:t>
      </w:r>
      <w:r w:rsidRPr="00D30BC1">
        <w:rPr>
          <w:rFonts w:ascii="Arial" w:hAnsi="Arial" w:cs="Arial"/>
          <w:sz w:val="20"/>
          <w:lang w:val="en-CA"/>
        </w:rPr>
        <w:t xml:space="preserve">Review of analog </w:t>
      </w:r>
      <w:r w:rsidR="000A72D0">
        <w:rPr>
          <w:rFonts w:ascii="Arial" w:hAnsi="Arial" w:cs="Arial"/>
          <w:sz w:val="20"/>
          <w:lang w:val="en-CA"/>
        </w:rPr>
        <w:t xml:space="preserve">storage project </w:t>
      </w:r>
      <w:r w:rsidRPr="00D30BC1">
        <w:rPr>
          <w:rFonts w:ascii="Arial" w:hAnsi="Arial" w:cs="Arial"/>
          <w:sz w:val="20"/>
          <w:lang w:val="en-CA"/>
        </w:rPr>
        <w:t>performance is useful in quality assurance of resource assessments at all stages of development.</w:t>
      </w:r>
    </w:p>
    <w:p w14:paraId="587668B1" w14:textId="77777777" w:rsidR="006B202E" w:rsidRDefault="006B202E" w:rsidP="00D30BC1">
      <w:pPr>
        <w:jc w:val="both"/>
        <w:rPr>
          <w:rFonts w:ascii="Arial" w:hAnsi="Arial" w:cs="Arial"/>
          <w:sz w:val="20"/>
          <w:lang w:val="en-CA"/>
        </w:rPr>
      </w:pPr>
    </w:p>
    <w:p w14:paraId="519B4450" w14:textId="77777777" w:rsidR="006B202E" w:rsidRDefault="006B202E" w:rsidP="001642F3">
      <w:pPr>
        <w:jc w:val="both"/>
        <w:rPr>
          <w:rFonts w:ascii="Arial" w:hAnsi="Arial" w:cs="Arial"/>
          <w:sz w:val="20"/>
          <w:lang w:val="en-CA"/>
        </w:rPr>
      </w:pPr>
    </w:p>
    <w:p w14:paraId="4C988E1F" w14:textId="77777777" w:rsidR="006B202E" w:rsidRPr="00D30BC1" w:rsidRDefault="006B202E" w:rsidP="001642F3">
      <w:pPr>
        <w:jc w:val="both"/>
        <w:rPr>
          <w:rFonts w:ascii="Arial" w:hAnsi="Arial" w:cs="Arial"/>
          <w:sz w:val="20"/>
          <w:lang w:val="en-CA"/>
        </w:rPr>
      </w:pPr>
      <w:r>
        <w:rPr>
          <w:rFonts w:ascii="Arial" w:hAnsi="Arial" w:cs="Arial"/>
          <w:sz w:val="20"/>
          <w:lang w:val="en-CA"/>
        </w:rPr>
        <w:t>As there is limited experience in the CO</w:t>
      </w:r>
      <w:r w:rsidRPr="00847A50">
        <w:rPr>
          <w:rFonts w:ascii="Arial" w:hAnsi="Arial" w:cs="Arial"/>
          <w:sz w:val="20"/>
          <w:vertAlign w:val="subscript"/>
          <w:lang w:val="en-CA"/>
        </w:rPr>
        <w:t>2</w:t>
      </w:r>
      <w:r>
        <w:rPr>
          <w:rFonts w:ascii="Arial" w:hAnsi="Arial" w:cs="Arial"/>
          <w:sz w:val="20"/>
          <w:lang w:val="en-CA"/>
        </w:rPr>
        <w:t xml:space="preserve"> storage industry, analogs may not be readily available for a significant number of storage cases. Due to this lack of maturity, </w:t>
      </w:r>
      <w:r>
        <w:rPr>
          <w:rFonts w:ascii="Arial" w:hAnsi="Arial" w:cs="Arial"/>
          <w:sz w:val="20"/>
        </w:rPr>
        <w:t xml:space="preserve">storage quantities based on analogs or volumetric methods with storage coefficients based on analog developments may have significant uncertainty and may be classified less mature than methods not based on analog development.  </w:t>
      </w:r>
      <w:r>
        <w:rPr>
          <w:rFonts w:ascii="Arial" w:hAnsi="Arial" w:cs="Arial"/>
          <w:sz w:val="20"/>
          <w:lang w:val="en-CA"/>
        </w:rPr>
        <w:t>However, analogs will become increasingly important as this industry matures and gains a breadth of experience</w:t>
      </w:r>
    </w:p>
    <w:p w14:paraId="13912C08" w14:textId="77777777" w:rsidR="006B202E" w:rsidRPr="00D30BC1" w:rsidRDefault="006B202E" w:rsidP="00D30BC1">
      <w:pPr>
        <w:jc w:val="both"/>
        <w:rPr>
          <w:rFonts w:ascii="Arial" w:hAnsi="Arial" w:cs="Arial"/>
          <w:sz w:val="20"/>
          <w:lang w:val="en-CA"/>
        </w:rPr>
      </w:pPr>
    </w:p>
    <w:p w14:paraId="4352F08B" w14:textId="77777777" w:rsidR="006B202E" w:rsidRPr="00D30BC1" w:rsidRDefault="006B202E" w:rsidP="00D30BC1">
      <w:pPr>
        <w:pStyle w:val="Heading8"/>
      </w:pPr>
      <w:r w:rsidRPr="00D30BC1">
        <w:t xml:space="preserve">4.1.2 </w:t>
      </w:r>
      <w:r w:rsidRPr="00D30BC1">
        <w:tab/>
        <w:t>Volumetric Estimate</w:t>
      </w:r>
    </w:p>
    <w:p w14:paraId="5FE2E2D4" w14:textId="77777777" w:rsidR="006B202E" w:rsidRPr="00D30BC1" w:rsidRDefault="006B202E" w:rsidP="00D30BC1">
      <w:pPr>
        <w:pStyle w:val="CommentText"/>
        <w:rPr>
          <w:rFonts w:ascii="Arial" w:hAnsi="Arial" w:cs="Arial"/>
          <w:szCs w:val="24"/>
        </w:rPr>
      </w:pPr>
    </w:p>
    <w:p w14:paraId="1E24D328" w14:textId="77777777" w:rsidR="006B202E" w:rsidRPr="00D30BC1" w:rsidRDefault="006B202E" w:rsidP="00D30BC1">
      <w:pPr>
        <w:pStyle w:val="CommentText"/>
        <w:jc w:val="both"/>
        <w:rPr>
          <w:rFonts w:ascii="Arial" w:hAnsi="Arial" w:cs="Arial"/>
          <w:szCs w:val="24"/>
        </w:rPr>
      </w:pPr>
      <w:r w:rsidRPr="00D30BC1">
        <w:rPr>
          <w:rFonts w:ascii="Arial" w:hAnsi="Arial" w:cs="Arial"/>
        </w:rPr>
        <w:t>This procedure uses rock properties</w:t>
      </w:r>
      <w:r w:rsidR="0039095C">
        <w:rPr>
          <w:rFonts w:ascii="Arial" w:hAnsi="Arial" w:cs="Arial"/>
        </w:rPr>
        <w:t xml:space="preserve"> </w:t>
      </w:r>
      <w:r w:rsidRPr="00D30BC1">
        <w:rPr>
          <w:rFonts w:ascii="Arial" w:hAnsi="Arial" w:cs="Arial"/>
        </w:rPr>
        <w:t xml:space="preserve">to calculate </w:t>
      </w:r>
      <w:r w:rsidR="0039095C">
        <w:rPr>
          <w:rFonts w:ascii="Arial" w:hAnsi="Arial" w:cs="Arial"/>
        </w:rPr>
        <w:t xml:space="preserve">storable quantities </w:t>
      </w:r>
      <w:r w:rsidRPr="00D30BC1">
        <w:rPr>
          <w:rFonts w:ascii="Arial" w:hAnsi="Arial" w:cs="Arial"/>
        </w:rPr>
        <w:t xml:space="preserve">and then estimate that portion that will be </w:t>
      </w:r>
      <w:r>
        <w:rPr>
          <w:rFonts w:ascii="Arial" w:hAnsi="Arial" w:cs="Arial"/>
        </w:rPr>
        <w:t>available to store CO</w:t>
      </w:r>
      <w:r w:rsidRPr="00427A8A">
        <w:rPr>
          <w:rFonts w:ascii="Arial" w:hAnsi="Arial" w:cs="Arial"/>
          <w:vertAlign w:val="subscript"/>
        </w:rPr>
        <w:t>2</w:t>
      </w:r>
      <w:r w:rsidRPr="00D30BC1">
        <w:rPr>
          <w:rFonts w:ascii="Arial" w:hAnsi="Arial" w:cs="Arial"/>
        </w:rPr>
        <w:t xml:space="preserve"> by </w:t>
      </w:r>
      <w:r>
        <w:rPr>
          <w:rFonts w:ascii="Arial" w:hAnsi="Arial" w:cs="Arial"/>
        </w:rPr>
        <w:t xml:space="preserve">one or more </w:t>
      </w:r>
      <w:r w:rsidRPr="00D30BC1">
        <w:rPr>
          <w:rFonts w:ascii="Arial" w:hAnsi="Arial" w:cs="Arial"/>
        </w:rPr>
        <w:t>specific development projects</w:t>
      </w:r>
      <w:r>
        <w:rPr>
          <w:rFonts w:ascii="Arial" w:hAnsi="Arial" w:cs="Arial"/>
        </w:rPr>
        <w:t xml:space="preserve"> or basin-scale assessment</w:t>
      </w:r>
      <w:r w:rsidRPr="00D30BC1">
        <w:rPr>
          <w:rFonts w:ascii="Arial" w:hAnsi="Arial" w:cs="Arial"/>
        </w:rPr>
        <w:t>.</w:t>
      </w:r>
      <w:r w:rsidRPr="00D30BC1">
        <w:rPr>
          <w:rFonts w:ascii="Arial" w:hAnsi="Arial" w:cs="Arial"/>
          <w:szCs w:val="24"/>
        </w:rPr>
        <w:t xml:space="preserve"> Key uncertainties affecting </w:t>
      </w:r>
      <w:r w:rsidR="0039095C">
        <w:rPr>
          <w:rFonts w:ascii="Arial" w:hAnsi="Arial" w:cs="Arial"/>
          <w:szCs w:val="24"/>
        </w:rPr>
        <w:t>storable quantities</w:t>
      </w:r>
      <w:r w:rsidRPr="00D30BC1">
        <w:rPr>
          <w:rFonts w:ascii="Arial" w:hAnsi="Arial" w:cs="Arial"/>
          <w:szCs w:val="24"/>
        </w:rPr>
        <w:t xml:space="preserve"> include:</w:t>
      </w:r>
    </w:p>
    <w:p w14:paraId="05C56DD7" w14:textId="77777777" w:rsidR="006B202E" w:rsidRPr="00D30BC1" w:rsidRDefault="006B202E" w:rsidP="00D30BC1">
      <w:pPr>
        <w:pStyle w:val="CommentText"/>
        <w:jc w:val="both"/>
        <w:rPr>
          <w:rFonts w:ascii="Arial" w:hAnsi="Arial" w:cs="Arial"/>
          <w:szCs w:val="24"/>
        </w:rPr>
      </w:pPr>
    </w:p>
    <w:p w14:paraId="02138F73" w14:textId="77777777" w:rsidR="006B202E" w:rsidRPr="00D30BC1" w:rsidRDefault="0039095C" w:rsidP="006B202E">
      <w:pPr>
        <w:pStyle w:val="CommentText"/>
        <w:numPr>
          <w:ilvl w:val="0"/>
          <w:numId w:val="35"/>
        </w:numPr>
        <w:jc w:val="both"/>
        <w:rPr>
          <w:rFonts w:ascii="Arial" w:hAnsi="Arial" w:cs="Arial"/>
          <w:szCs w:val="24"/>
        </w:rPr>
      </w:pPr>
      <w:r>
        <w:rPr>
          <w:rFonts w:ascii="Arial" w:hAnsi="Arial" w:cs="Arial"/>
          <w:szCs w:val="24"/>
        </w:rPr>
        <w:t>Formation</w:t>
      </w:r>
      <w:r w:rsidR="006B202E" w:rsidRPr="00D30BC1">
        <w:rPr>
          <w:rFonts w:ascii="Arial" w:hAnsi="Arial" w:cs="Arial"/>
          <w:szCs w:val="24"/>
        </w:rPr>
        <w:t xml:space="preserve"> geometry and </w:t>
      </w:r>
      <w:r w:rsidR="006B202E">
        <w:rPr>
          <w:rFonts w:ascii="Arial" w:hAnsi="Arial" w:cs="Arial"/>
          <w:szCs w:val="24"/>
        </w:rPr>
        <w:t xml:space="preserve">thickness </w:t>
      </w:r>
      <w:r w:rsidR="006B202E" w:rsidRPr="00D30BC1">
        <w:rPr>
          <w:rFonts w:ascii="Arial" w:hAnsi="Arial" w:cs="Arial"/>
          <w:szCs w:val="24"/>
        </w:rPr>
        <w:t>that impact gross rock volume.</w:t>
      </w:r>
    </w:p>
    <w:p w14:paraId="4372E70C" w14:textId="77777777" w:rsidR="006B202E" w:rsidRDefault="006B202E" w:rsidP="006B202E">
      <w:pPr>
        <w:pStyle w:val="CommentText"/>
        <w:numPr>
          <w:ilvl w:val="0"/>
          <w:numId w:val="35"/>
        </w:numPr>
        <w:jc w:val="both"/>
        <w:rPr>
          <w:rFonts w:ascii="Arial" w:hAnsi="Arial" w:cs="Arial"/>
          <w:szCs w:val="24"/>
        </w:rPr>
      </w:pPr>
      <w:r w:rsidRPr="00D30BC1">
        <w:rPr>
          <w:rFonts w:ascii="Arial" w:hAnsi="Arial" w:cs="Arial"/>
          <w:szCs w:val="24"/>
        </w:rPr>
        <w:t xml:space="preserve">Geological </w:t>
      </w:r>
      <w:r>
        <w:rPr>
          <w:rFonts w:ascii="Arial" w:hAnsi="Arial" w:cs="Arial"/>
          <w:szCs w:val="24"/>
        </w:rPr>
        <w:t xml:space="preserve">heterogeneity of the </w:t>
      </w:r>
      <w:r w:rsidRPr="00D30BC1">
        <w:rPr>
          <w:rFonts w:ascii="Arial" w:hAnsi="Arial" w:cs="Arial"/>
          <w:szCs w:val="24"/>
        </w:rPr>
        <w:t xml:space="preserve">pore volume. </w:t>
      </w:r>
    </w:p>
    <w:p w14:paraId="2A16A103" w14:textId="77777777" w:rsidR="006B202E" w:rsidRDefault="006B202E" w:rsidP="006B202E">
      <w:pPr>
        <w:pStyle w:val="CommentText"/>
        <w:numPr>
          <w:ilvl w:val="0"/>
          <w:numId w:val="35"/>
        </w:numPr>
        <w:jc w:val="both"/>
        <w:rPr>
          <w:rFonts w:ascii="Arial" w:hAnsi="Arial" w:cs="Arial"/>
          <w:szCs w:val="24"/>
        </w:rPr>
      </w:pPr>
      <w:r>
        <w:rPr>
          <w:rFonts w:ascii="Arial" w:hAnsi="Arial" w:cs="Arial"/>
          <w:szCs w:val="24"/>
        </w:rPr>
        <w:t>Hydrodynamic and geochemical factors affecting the mobility and fate of the injected CO</w:t>
      </w:r>
      <w:r w:rsidRPr="00427A8A">
        <w:rPr>
          <w:rFonts w:ascii="Arial" w:hAnsi="Arial" w:cs="Arial"/>
          <w:szCs w:val="24"/>
          <w:vertAlign w:val="subscript"/>
        </w:rPr>
        <w:t>2</w:t>
      </w:r>
      <w:r>
        <w:rPr>
          <w:rFonts w:ascii="Arial" w:hAnsi="Arial" w:cs="Arial"/>
          <w:szCs w:val="24"/>
        </w:rPr>
        <w:t>.</w:t>
      </w:r>
    </w:p>
    <w:p w14:paraId="412BBEEA" w14:textId="568BD7FD" w:rsidR="009E5C3A" w:rsidRPr="00D30BC1" w:rsidRDefault="009E5C3A" w:rsidP="006B202E">
      <w:pPr>
        <w:pStyle w:val="CommentText"/>
        <w:numPr>
          <w:ilvl w:val="0"/>
          <w:numId w:val="35"/>
        </w:numPr>
        <w:jc w:val="both"/>
        <w:rPr>
          <w:rFonts w:ascii="Arial" w:hAnsi="Arial" w:cs="Arial"/>
          <w:szCs w:val="24"/>
        </w:rPr>
      </w:pPr>
      <w:r>
        <w:rPr>
          <w:rFonts w:ascii="Arial" w:hAnsi="Arial" w:cs="Arial"/>
          <w:szCs w:val="24"/>
        </w:rPr>
        <w:t>Extent, and current competence of containment system</w:t>
      </w:r>
      <w:r w:rsidR="00D67BF1">
        <w:rPr>
          <w:rFonts w:ascii="Arial" w:hAnsi="Arial" w:cs="Arial"/>
          <w:szCs w:val="24"/>
        </w:rPr>
        <w:t>.</w:t>
      </w:r>
    </w:p>
    <w:p w14:paraId="4647F425" w14:textId="77777777" w:rsidR="006B202E" w:rsidRPr="00D30BC1" w:rsidRDefault="006B202E" w:rsidP="00D30BC1">
      <w:pPr>
        <w:pStyle w:val="CommentText"/>
        <w:ind w:left="360"/>
        <w:jc w:val="both"/>
        <w:rPr>
          <w:rFonts w:ascii="Arial" w:hAnsi="Arial" w:cs="Arial"/>
          <w:szCs w:val="24"/>
        </w:rPr>
      </w:pPr>
    </w:p>
    <w:p w14:paraId="04220F72" w14:textId="01992CE5" w:rsidR="006B202E" w:rsidRDefault="006B202E" w:rsidP="00D30BC1">
      <w:pPr>
        <w:pStyle w:val="CommentText"/>
        <w:jc w:val="both"/>
        <w:rPr>
          <w:rFonts w:ascii="Arial" w:hAnsi="Arial" w:cs="Arial"/>
          <w:strike/>
          <w:szCs w:val="24"/>
        </w:rPr>
      </w:pPr>
      <w:r w:rsidRPr="00D30BC1">
        <w:rPr>
          <w:rFonts w:ascii="Arial" w:hAnsi="Arial" w:cs="Arial"/>
        </w:rPr>
        <w:t xml:space="preserve">The gross rock volume of interest is that for the total </w:t>
      </w:r>
      <w:r w:rsidR="0039095C">
        <w:rPr>
          <w:rFonts w:ascii="Arial" w:hAnsi="Arial" w:cs="Arial"/>
        </w:rPr>
        <w:t>formation</w:t>
      </w:r>
      <w:r w:rsidRPr="00D30BC1">
        <w:rPr>
          <w:rFonts w:ascii="Arial" w:hAnsi="Arial" w:cs="Arial"/>
        </w:rPr>
        <w:t xml:space="preserve">. While spatial distribution </w:t>
      </w:r>
      <w:r w:rsidR="00B66E1B">
        <w:rPr>
          <w:rFonts w:ascii="Arial" w:hAnsi="Arial" w:cs="Arial"/>
        </w:rPr>
        <w:t xml:space="preserve">of porosity and permeability </w:t>
      </w:r>
      <w:r w:rsidRPr="00D30BC1">
        <w:rPr>
          <w:rFonts w:ascii="Arial" w:hAnsi="Arial" w:cs="Arial"/>
        </w:rPr>
        <w:t xml:space="preserve">impact </w:t>
      </w:r>
      <w:r>
        <w:rPr>
          <w:rFonts w:ascii="Arial" w:hAnsi="Arial" w:cs="Arial"/>
        </w:rPr>
        <w:t>storage</w:t>
      </w:r>
      <w:r w:rsidRPr="00D30BC1">
        <w:rPr>
          <w:rFonts w:ascii="Arial" w:hAnsi="Arial" w:cs="Arial"/>
        </w:rPr>
        <w:t xml:space="preserve"> efficiency, the calculation of </w:t>
      </w:r>
      <w:r w:rsidR="0039095C">
        <w:rPr>
          <w:rFonts w:ascii="Arial" w:hAnsi="Arial" w:cs="Arial"/>
        </w:rPr>
        <w:t xml:space="preserve">storable quantities </w:t>
      </w:r>
      <w:r w:rsidRPr="00D30BC1">
        <w:rPr>
          <w:rFonts w:ascii="Arial" w:hAnsi="Arial" w:cs="Arial"/>
        </w:rPr>
        <w:t xml:space="preserve">often uses </w:t>
      </w:r>
      <w:r w:rsidRPr="00D30BC1">
        <w:rPr>
          <w:rFonts w:ascii="Arial" w:hAnsi="Arial" w:cs="Arial"/>
          <w:szCs w:val="24"/>
        </w:rPr>
        <w:t xml:space="preserve">average net-to-gross ratio </w:t>
      </w:r>
      <w:r>
        <w:rPr>
          <w:rFonts w:ascii="Arial" w:hAnsi="Arial" w:cs="Arial"/>
          <w:szCs w:val="24"/>
        </w:rPr>
        <w:t xml:space="preserve">and </w:t>
      </w:r>
      <w:r w:rsidRPr="00D30BC1">
        <w:rPr>
          <w:rFonts w:ascii="Arial" w:hAnsi="Arial" w:cs="Arial"/>
          <w:szCs w:val="24"/>
        </w:rPr>
        <w:t xml:space="preserve">porosity. In more heterogeneous </w:t>
      </w:r>
      <w:r w:rsidR="0039095C">
        <w:rPr>
          <w:rFonts w:ascii="Arial" w:hAnsi="Arial" w:cs="Arial"/>
          <w:szCs w:val="24"/>
        </w:rPr>
        <w:t>formations</w:t>
      </w:r>
      <w:r w:rsidRPr="00D30BC1">
        <w:rPr>
          <w:rFonts w:ascii="Arial" w:hAnsi="Arial" w:cs="Arial"/>
          <w:szCs w:val="24"/>
        </w:rPr>
        <w:t xml:space="preserve">, increased well density may be required to confidently assess and categorize resources. </w:t>
      </w:r>
      <w:r w:rsidR="00493C1B">
        <w:rPr>
          <w:rFonts w:ascii="Arial" w:hAnsi="Arial" w:cs="Arial"/>
          <w:szCs w:val="24"/>
        </w:rPr>
        <w:t>(Note: Storage efficiency may be defined on a pore volume (either effective or total) or bulk volume basis and should be clearly stated.)</w:t>
      </w:r>
    </w:p>
    <w:p w14:paraId="0E752436" w14:textId="77777777" w:rsidR="00493C1B" w:rsidRPr="00493C1B" w:rsidRDefault="00493C1B" w:rsidP="00D30BC1">
      <w:pPr>
        <w:pStyle w:val="CommentText"/>
        <w:jc w:val="both"/>
        <w:rPr>
          <w:rFonts w:ascii="Arial" w:hAnsi="Arial" w:cs="Arial"/>
          <w:strike/>
          <w:szCs w:val="24"/>
        </w:rPr>
      </w:pPr>
    </w:p>
    <w:p w14:paraId="29B740C3" w14:textId="77777777" w:rsidR="006B202E" w:rsidRDefault="006B202E" w:rsidP="001642F3">
      <w:pPr>
        <w:pStyle w:val="CommentText"/>
        <w:jc w:val="both"/>
        <w:rPr>
          <w:rFonts w:ascii="Arial" w:hAnsi="Arial" w:cs="Arial"/>
          <w:szCs w:val="24"/>
        </w:rPr>
      </w:pPr>
      <w:r w:rsidRPr="00D30BC1">
        <w:rPr>
          <w:rFonts w:ascii="Arial" w:hAnsi="Arial" w:cs="Arial"/>
          <w:szCs w:val="24"/>
        </w:rPr>
        <w:t xml:space="preserve">Given estimates of the </w:t>
      </w:r>
      <w:r w:rsidR="0039095C">
        <w:rPr>
          <w:rFonts w:ascii="Arial" w:hAnsi="Arial" w:cs="Arial"/>
          <w:szCs w:val="24"/>
        </w:rPr>
        <w:t>storable quantities</w:t>
      </w:r>
      <w:r w:rsidRPr="00D30BC1">
        <w:rPr>
          <w:rFonts w:ascii="Arial" w:hAnsi="Arial" w:cs="Arial"/>
          <w:szCs w:val="24"/>
        </w:rPr>
        <w:t xml:space="preserve">, that portion that can be </w:t>
      </w:r>
      <w:r>
        <w:rPr>
          <w:rFonts w:ascii="Arial" w:hAnsi="Arial" w:cs="Arial"/>
          <w:szCs w:val="24"/>
        </w:rPr>
        <w:t>stored</w:t>
      </w:r>
      <w:r w:rsidRPr="00D30BC1">
        <w:rPr>
          <w:rFonts w:ascii="Arial" w:hAnsi="Arial" w:cs="Arial"/>
          <w:szCs w:val="24"/>
        </w:rPr>
        <w:t xml:space="preserve"> by a defined set of wells and operating conditions must then be estimated based on analog </w:t>
      </w:r>
      <w:r w:rsidR="00BF5934">
        <w:rPr>
          <w:rFonts w:ascii="Arial" w:hAnsi="Arial" w:cs="Arial"/>
          <w:szCs w:val="24"/>
        </w:rPr>
        <w:t>well</w:t>
      </w:r>
      <w:r w:rsidRPr="00D30BC1">
        <w:rPr>
          <w:rFonts w:ascii="Arial" w:hAnsi="Arial" w:cs="Arial"/>
          <w:szCs w:val="24"/>
        </w:rPr>
        <w:t xml:space="preserve"> performance and/or simulation studies using available </w:t>
      </w:r>
      <w:r w:rsidR="0039095C">
        <w:rPr>
          <w:rFonts w:ascii="Arial" w:hAnsi="Arial" w:cs="Arial"/>
          <w:szCs w:val="24"/>
        </w:rPr>
        <w:t>geologic</w:t>
      </w:r>
      <w:r w:rsidRPr="00D30BC1">
        <w:rPr>
          <w:rFonts w:ascii="Arial" w:hAnsi="Arial" w:cs="Arial"/>
          <w:szCs w:val="24"/>
        </w:rPr>
        <w:t xml:space="preserve"> information. Key assumptions must be made regarding </w:t>
      </w:r>
      <w:r w:rsidR="00BF5934">
        <w:rPr>
          <w:rFonts w:ascii="Arial" w:hAnsi="Arial" w:cs="Arial"/>
          <w:szCs w:val="24"/>
        </w:rPr>
        <w:t>natural</w:t>
      </w:r>
      <w:r w:rsidRPr="00D30BC1">
        <w:rPr>
          <w:rFonts w:ascii="Arial" w:hAnsi="Arial" w:cs="Arial"/>
          <w:szCs w:val="24"/>
        </w:rPr>
        <w:t xml:space="preserve"> drive mechanisms. </w:t>
      </w:r>
    </w:p>
    <w:p w14:paraId="763C4317" w14:textId="77777777" w:rsidR="006B202E" w:rsidRDefault="006B202E" w:rsidP="001642F3">
      <w:pPr>
        <w:pStyle w:val="CommentText"/>
        <w:jc w:val="both"/>
        <w:rPr>
          <w:rFonts w:ascii="Arial" w:hAnsi="Arial" w:cs="Arial"/>
          <w:szCs w:val="24"/>
        </w:rPr>
      </w:pPr>
    </w:p>
    <w:p w14:paraId="00E6C9C9" w14:textId="77777777" w:rsidR="006B202E" w:rsidRDefault="006B202E" w:rsidP="001642F3">
      <w:pPr>
        <w:pStyle w:val="CommentText"/>
        <w:jc w:val="both"/>
        <w:rPr>
          <w:rFonts w:ascii="Arial" w:hAnsi="Arial" w:cs="Arial"/>
          <w:szCs w:val="24"/>
        </w:rPr>
      </w:pPr>
      <w:r>
        <w:rPr>
          <w:rFonts w:ascii="Arial" w:hAnsi="Arial" w:cs="Arial"/>
          <w:szCs w:val="24"/>
        </w:rPr>
        <w:t>Key parameters include</w:t>
      </w:r>
    </w:p>
    <w:p w14:paraId="30D7E462" w14:textId="77777777" w:rsidR="006B202E" w:rsidRDefault="006B202E" w:rsidP="006B202E">
      <w:pPr>
        <w:pStyle w:val="CommentText"/>
        <w:numPr>
          <w:ilvl w:val="0"/>
          <w:numId w:val="44"/>
        </w:numPr>
        <w:jc w:val="both"/>
        <w:rPr>
          <w:rFonts w:ascii="Arial" w:hAnsi="Arial" w:cs="Arial"/>
          <w:szCs w:val="24"/>
        </w:rPr>
      </w:pPr>
      <w:r>
        <w:rPr>
          <w:rFonts w:ascii="Arial" w:hAnsi="Arial" w:cs="Arial"/>
          <w:szCs w:val="24"/>
        </w:rPr>
        <w:t>Permeability</w:t>
      </w:r>
    </w:p>
    <w:p w14:paraId="65615E90" w14:textId="77777777" w:rsidR="006B202E" w:rsidRDefault="006B202E" w:rsidP="006B202E">
      <w:pPr>
        <w:pStyle w:val="CommentText"/>
        <w:numPr>
          <w:ilvl w:val="0"/>
          <w:numId w:val="44"/>
        </w:numPr>
        <w:jc w:val="both"/>
        <w:rPr>
          <w:rFonts w:ascii="Arial" w:hAnsi="Arial" w:cs="Arial"/>
          <w:szCs w:val="24"/>
        </w:rPr>
      </w:pPr>
      <w:r>
        <w:rPr>
          <w:rFonts w:ascii="Arial" w:hAnsi="Arial" w:cs="Arial"/>
          <w:szCs w:val="24"/>
        </w:rPr>
        <w:t>Pore and fluid compressibility (water compressibility for saline aquifer, and an average fluid compressibility for storage in depleted oil and gas reservoirs)</w:t>
      </w:r>
    </w:p>
    <w:p w14:paraId="6375B348" w14:textId="029CDB0B" w:rsidR="006B202E" w:rsidRDefault="006B202E" w:rsidP="006B202E">
      <w:pPr>
        <w:pStyle w:val="CommentText"/>
        <w:numPr>
          <w:ilvl w:val="0"/>
          <w:numId w:val="44"/>
        </w:numPr>
        <w:jc w:val="both"/>
        <w:rPr>
          <w:rFonts w:ascii="Arial" w:hAnsi="Arial" w:cs="Arial"/>
          <w:szCs w:val="24"/>
        </w:rPr>
      </w:pPr>
      <w:r>
        <w:rPr>
          <w:rFonts w:ascii="Arial" w:hAnsi="Arial" w:cs="Arial"/>
          <w:szCs w:val="24"/>
        </w:rPr>
        <w:t>Maximum storage and injection pressures defined not to damage the cap rock</w:t>
      </w:r>
    </w:p>
    <w:p w14:paraId="356BC825" w14:textId="77777777" w:rsidR="006B202E" w:rsidRDefault="006B202E" w:rsidP="006B202E">
      <w:pPr>
        <w:pStyle w:val="CommentText"/>
        <w:numPr>
          <w:ilvl w:val="0"/>
          <w:numId w:val="44"/>
        </w:numPr>
        <w:jc w:val="both"/>
        <w:rPr>
          <w:rFonts w:ascii="Arial" w:hAnsi="Arial" w:cs="Arial"/>
          <w:szCs w:val="24"/>
        </w:rPr>
      </w:pPr>
      <w:r>
        <w:rPr>
          <w:rFonts w:ascii="Arial" w:hAnsi="Arial" w:cs="Arial"/>
          <w:szCs w:val="24"/>
        </w:rPr>
        <w:t xml:space="preserve">Boundary conditions of the domain, enabling or not some lateral pressure dissipation </w:t>
      </w:r>
    </w:p>
    <w:p w14:paraId="02E9F801" w14:textId="77777777" w:rsidR="006B202E" w:rsidRDefault="006B202E" w:rsidP="006B202E">
      <w:pPr>
        <w:pStyle w:val="CommentText"/>
        <w:numPr>
          <w:ilvl w:val="0"/>
          <w:numId w:val="44"/>
        </w:numPr>
        <w:jc w:val="both"/>
        <w:rPr>
          <w:rFonts w:ascii="Arial" w:hAnsi="Arial" w:cs="Arial"/>
          <w:szCs w:val="24"/>
        </w:rPr>
      </w:pPr>
      <w:r>
        <w:rPr>
          <w:rFonts w:ascii="Arial" w:hAnsi="Arial" w:cs="Arial"/>
          <w:szCs w:val="24"/>
        </w:rPr>
        <w:t>Drive mechanism: injection only or injection and water extraction to mitigate pressure build up</w:t>
      </w:r>
    </w:p>
    <w:p w14:paraId="64DBF98E" w14:textId="77777777" w:rsidR="006B202E" w:rsidRPr="00D30BC1" w:rsidRDefault="006B202E" w:rsidP="00D30BC1">
      <w:pPr>
        <w:pStyle w:val="CommentText"/>
        <w:jc w:val="both"/>
        <w:rPr>
          <w:rFonts w:ascii="Arial" w:hAnsi="Arial" w:cs="Arial"/>
          <w:szCs w:val="24"/>
        </w:rPr>
      </w:pPr>
    </w:p>
    <w:p w14:paraId="6601A975" w14:textId="77777777" w:rsidR="006B202E" w:rsidRPr="00D30BC1" w:rsidRDefault="006B202E" w:rsidP="00D30BC1">
      <w:pPr>
        <w:pStyle w:val="CommentText"/>
        <w:jc w:val="both"/>
        <w:rPr>
          <w:rFonts w:ascii="Arial" w:hAnsi="Arial" w:cs="Arial"/>
          <w:szCs w:val="24"/>
        </w:rPr>
      </w:pPr>
      <w:r w:rsidRPr="00D30BC1">
        <w:rPr>
          <w:rFonts w:ascii="Arial" w:hAnsi="Arial" w:cs="Arial"/>
          <w:szCs w:val="24"/>
        </w:rPr>
        <w:t xml:space="preserve">The estimates of </w:t>
      </w:r>
      <w:r>
        <w:rPr>
          <w:rFonts w:ascii="Arial" w:hAnsi="Arial" w:cs="Arial"/>
          <w:szCs w:val="24"/>
        </w:rPr>
        <w:t>storable</w:t>
      </w:r>
      <w:r w:rsidRPr="00D30BC1">
        <w:rPr>
          <w:rFonts w:ascii="Arial" w:hAnsi="Arial" w:cs="Arial"/>
          <w:szCs w:val="24"/>
        </w:rPr>
        <w:t xml:space="preserve"> quantities must reflect uncertaint</w:t>
      </w:r>
      <w:r>
        <w:rPr>
          <w:rFonts w:ascii="Arial" w:hAnsi="Arial" w:cs="Arial"/>
          <w:szCs w:val="24"/>
        </w:rPr>
        <w:t>y</w:t>
      </w:r>
      <w:r w:rsidRPr="00D30BC1">
        <w:rPr>
          <w:rFonts w:ascii="Arial" w:hAnsi="Arial" w:cs="Arial"/>
          <w:szCs w:val="24"/>
        </w:rPr>
        <w:t xml:space="preserve"> not only in the </w:t>
      </w:r>
      <w:r w:rsidR="0039095C">
        <w:rPr>
          <w:rFonts w:ascii="Arial" w:hAnsi="Arial" w:cs="Arial"/>
          <w:szCs w:val="24"/>
        </w:rPr>
        <w:t xml:space="preserve">storable quantities </w:t>
      </w:r>
      <w:r w:rsidRPr="00D30BC1">
        <w:rPr>
          <w:rFonts w:ascii="Arial" w:hAnsi="Arial" w:cs="Arial"/>
          <w:szCs w:val="24"/>
        </w:rPr>
        <w:t xml:space="preserve">but also in the </w:t>
      </w:r>
      <w:r>
        <w:rPr>
          <w:rFonts w:ascii="Arial" w:hAnsi="Arial" w:cs="Arial"/>
          <w:szCs w:val="24"/>
        </w:rPr>
        <w:t>storage</w:t>
      </w:r>
      <w:r w:rsidRPr="00D30BC1">
        <w:rPr>
          <w:rFonts w:ascii="Arial" w:hAnsi="Arial" w:cs="Arial"/>
          <w:szCs w:val="24"/>
        </w:rPr>
        <w:t xml:space="preserve"> efficiency of the development project(s) applied to </w:t>
      </w:r>
      <w:r>
        <w:rPr>
          <w:rFonts w:ascii="Arial" w:hAnsi="Arial" w:cs="Arial"/>
          <w:szCs w:val="24"/>
        </w:rPr>
        <w:t>a</w:t>
      </w:r>
      <w:r w:rsidRPr="00D30BC1">
        <w:rPr>
          <w:rFonts w:ascii="Arial" w:hAnsi="Arial" w:cs="Arial"/>
          <w:szCs w:val="24"/>
        </w:rPr>
        <w:t xml:space="preserve"> specific </w:t>
      </w:r>
      <w:r w:rsidR="0039095C">
        <w:rPr>
          <w:rFonts w:ascii="Arial" w:hAnsi="Arial" w:cs="Arial"/>
          <w:szCs w:val="24"/>
        </w:rPr>
        <w:t>geologic formation</w:t>
      </w:r>
      <w:r w:rsidRPr="00D30BC1">
        <w:rPr>
          <w:rFonts w:ascii="Arial" w:hAnsi="Arial" w:cs="Arial"/>
          <w:szCs w:val="24"/>
        </w:rPr>
        <w:t xml:space="preserve"> being studied.</w:t>
      </w:r>
    </w:p>
    <w:p w14:paraId="68CEDB6C" w14:textId="77777777" w:rsidR="006B202E" w:rsidRPr="00D30BC1" w:rsidRDefault="006B202E" w:rsidP="00D30BC1">
      <w:pPr>
        <w:pStyle w:val="CommentText"/>
        <w:rPr>
          <w:rFonts w:ascii="Arial" w:hAnsi="Arial" w:cs="Arial"/>
          <w:szCs w:val="24"/>
        </w:rPr>
      </w:pPr>
    </w:p>
    <w:p w14:paraId="62C4A9FB" w14:textId="77777777" w:rsidR="006B202E" w:rsidRPr="00D30BC1" w:rsidRDefault="006B202E" w:rsidP="00D30BC1">
      <w:pPr>
        <w:pStyle w:val="CommentText"/>
        <w:jc w:val="both"/>
        <w:rPr>
          <w:rFonts w:ascii="Arial" w:hAnsi="Arial" w:cs="Arial"/>
          <w:szCs w:val="24"/>
        </w:rPr>
      </w:pPr>
      <w:r>
        <w:rPr>
          <w:rFonts w:ascii="Arial" w:hAnsi="Arial" w:cs="Arial"/>
          <w:szCs w:val="24"/>
        </w:rPr>
        <w:t>Data permitting</w:t>
      </w:r>
      <w:r w:rsidRPr="00D30BC1">
        <w:rPr>
          <w:rFonts w:ascii="Arial" w:hAnsi="Arial" w:cs="Arial"/>
          <w:szCs w:val="24"/>
        </w:rPr>
        <w:t xml:space="preserve">, geostatistical methods can be used to preserve spatial distribution information and incorporate it in subsequent </w:t>
      </w:r>
      <w:r w:rsidR="00CC0F5F">
        <w:rPr>
          <w:rFonts w:ascii="Arial" w:hAnsi="Arial" w:cs="Arial"/>
          <w:szCs w:val="24"/>
        </w:rPr>
        <w:t xml:space="preserve">storage </w:t>
      </w:r>
      <w:r w:rsidRPr="00D30BC1">
        <w:rPr>
          <w:rFonts w:ascii="Arial" w:hAnsi="Arial" w:cs="Arial"/>
          <w:szCs w:val="24"/>
        </w:rPr>
        <w:t xml:space="preserve">simulation applications. Such processes may yield improved estimates of the range of </w:t>
      </w:r>
      <w:r>
        <w:rPr>
          <w:rFonts w:ascii="Arial" w:hAnsi="Arial" w:cs="Arial"/>
          <w:szCs w:val="24"/>
        </w:rPr>
        <w:t>storable</w:t>
      </w:r>
      <w:r w:rsidRPr="00D30BC1">
        <w:rPr>
          <w:rFonts w:ascii="Arial" w:hAnsi="Arial" w:cs="Arial"/>
          <w:szCs w:val="24"/>
        </w:rPr>
        <w:t xml:space="preserve"> quantities. Incorporation of seismic analyses typically improves the underlying </w:t>
      </w:r>
      <w:r w:rsidR="00CC0F5F">
        <w:rPr>
          <w:rFonts w:ascii="Arial" w:hAnsi="Arial" w:cs="Arial"/>
          <w:szCs w:val="24"/>
        </w:rPr>
        <w:t>geologic and flow</w:t>
      </w:r>
      <w:r w:rsidRPr="00D30BC1">
        <w:rPr>
          <w:rFonts w:ascii="Arial" w:hAnsi="Arial" w:cs="Arial"/>
          <w:szCs w:val="24"/>
        </w:rPr>
        <w:t xml:space="preserve"> models and yields more reliable resource estimates</w:t>
      </w:r>
      <w:r w:rsidRPr="00E81095">
        <w:rPr>
          <w:rFonts w:ascii="Arial" w:hAnsi="Arial" w:cs="Arial"/>
          <w:szCs w:val="24"/>
          <w:highlight w:val="red"/>
        </w:rPr>
        <w:t xml:space="preserve">. [Refer to the </w:t>
      </w:r>
      <w:r w:rsidRPr="00E81095">
        <w:rPr>
          <w:rFonts w:cs="Arial"/>
          <w:sz w:val="18"/>
          <w:szCs w:val="24"/>
          <w:highlight w:val="red"/>
        </w:rPr>
        <w:t>“</w:t>
      </w:r>
      <w:r w:rsidRPr="00E81095">
        <w:rPr>
          <w:rFonts w:ascii="Arial" w:hAnsi="Arial" w:cs="Arial"/>
          <w:szCs w:val="24"/>
          <w:highlight w:val="red"/>
        </w:rPr>
        <w:t>2001 SPE Supplemental Guidelines</w:t>
      </w:r>
      <w:r w:rsidRPr="00E81095">
        <w:rPr>
          <w:rFonts w:cs="Arial"/>
          <w:sz w:val="18"/>
          <w:szCs w:val="24"/>
          <w:highlight w:val="red"/>
        </w:rPr>
        <w:t>”</w:t>
      </w:r>
      <w:r w:rsidRPr="00E81095">
        <w:rPr>
          <w:rFonts w:ascii="Arial" w:hAnsi="Arial" w:cs="Arial"/>
          <w:szCs w:val="24"/>
          <w:highlight w:val="red"/>
        </w:rPr>
        <w:t xml:space="preserve"> for more detailed discussion of geostatistics (Chapter 7) and seismic applications (Chapter 8)].</w:t>
      </w:r>
    </w:p>
    <w:p w14:paraId="2DB9E3AB" w14:textId="77777777" w:rsidR="006B202E" w:rsidRPr="00D30BC1" w:rsidRDefault="006B202E" w:rsidP="00D30BC1">
      <w:pPr>
        <w:pStyle w:val="CommentText"/>
        <w:rPr>
          <w:rFonts w:ascii="Arial" w:hAnsi="Arial" w:cs="Arial"/>
          <w:szCs w:val="24"/>
        </w:rPr>
      </w:pPr>
    </w:p>
    <w:p w14:paraId="4F5FD6A9" w14:textId="77777777" w:rsidR="006B202E" w:rsidRPr="00D30BC1" w:rsidRDefault="006B202E" w:rsidP="00D30BC1">
      <w:pPr>
        <w:pStyle w:val="Heading8"/>
      </w:pPr>
      <w:r w:rsidRPr="00D30BC1">
        <w:t xml:space="preserve">4.1.3 </w:t>
      </w:r>
      <w:r w:rsidRPr="00D30BC1">
        <w:tab/>
        <w:t xml:space="preserve">Material Balance </w:t>
      </w:r>
    </w:p>
    <w:p w14:paraId="2ABAEC6F" w14:textId="77777777" w:rsidR="006B202E" w:rsidRPr="00D30BC1" w:rsidRDefault="006B202E" w:rsidP="00D30BC1">
      <w:pPr>
        <w:pStyle w:val="CommentText"/>
        <w:rPr>
          <w:rFonts w:ascii="Arial" w:hAnsi="Arial" w:cs="Arial"/>
          <w:szCs w:val="24"/>
        </w:rPr>
      </w:pPr>
    </w:p>
    <w:p w14:paraId="600D2C66" w14:textId="6C4E62F5" w:rsidR="006B202E" w:rsidRPr="00D30BC1" w:rsidRDefault="006B202E" w:rsidP="00D30BC1">
      <w:pPr>
        <w:pStyle w:val="CommentText"/>
        <w:jc w:val="both"/>
        <w:rPr>
          <w:rFonts w:ascii="Arial" w:hAnsi="Arial" w:cs="Arial"/>
          <w:szCs w:val="24"/>
        </w:rPr>
      </w:pPr>
      <w:r w:rsidRPr="00D30BC1">
        <w:rPr>
          <w:rFonts w:ascii="Arial" w:hAnsi="Arial" w:cs="Arial"/>
          <w:szCs w:val="24"/>
        </w:rPr>
        <w:t xml:space="preserve">Material balance methods to estimate </w:t>
      </w:r>
      <w:r>
        <w:rPr>
          <w:rFonts w:ascii="Arial" w:hAnsi="Arial" w:cs="Arial"/>
          <w:szCs w:val="24"/>
        </w:rPr>
        <w:t>storable</w:t>
      </w:r>
      <w:r w:rsidRPr="00D30BC1">
        <w:rPr>
          <w:rFonts w:ascii="Arial" w:hAnsi="Arial" w:cs="Arial"/>
          <w:szCs w:val="24"/>
        </w:rPr>
        <w:t xml:space="preserve"> quantities involve the analysis of pressure </w:t>
      </w:r>
      <w:r>
        <w:rPr>
          <w:rFonts w:ascii="Arial" w:hAnsi="Arial" w:cs="Arial"/>
          <w:szCs w:val="24"/>
        </w:rPr>
        <w:t xml:space="preserve">and geochemical </w:t>
      </w:r>
      <w:r w:rsidRPr="00D30BC1">
        <w:rPr>
          <w:rFonts w:ascii="Arial" w:hAnsi="Arial" w:cs="Arial"/>
          <w:szCs w:val="24"/>
        </w:rPr>
        <w:t xml:space="preserve">behavior as </w:t>
      </w:r>
      <w:r>
        <w:rPr>
          <w:rFonts w:ascii="Arial" w:hAnsi="Arial" w:cs="Arial"/>
          <w:szCs w:val="24"/>
        </w:rPr>
        <w:t>CO</w:t>
      </w:r>
      <w:r w:rsidRPr="00427A8A">
        <w:rPr>
          <w:rFonts w:ascii="Arial" w:hAnsi="Arial" w:cs="Arial"/>
          <w:szCs w:val="24"/>
          <w:vertAlign w:val="subscript"/>
        </w:rPr>
        <w:t>2</w:t>
      </w:r>
      <w:r>
        <w:rPr>
          <w:rFonts w:ascii="Arial" w:hAnsi="Arial" w:cs="Arial"/>
          <w:szCs w:val="24"/>
        </w:rPr>
        <w:t xml:space="preserve"> is</w:t>
      </w:r>
      <w:r w:rsidR="00427A8A">
        <w:rPr>
          <w:rFonts w:ascii="Arial" w:hAnsi="Arial" w:cs="Arial"/>
          <w:szCs w:val="24"/>
        </w:rPr>
        <w:t xml:space="preserve"> </w:t>
      </w:r>
      <w:r>
        <w:rPr>
          <w:rFonts w:ascii="Arial" w:hAnsi="Arial" w:cs="Arial"/>
          <w:szCs w:val="24"/>
        </w:rPr>
        <w:t>injected</w:t>
      </w:r>
      <w:r w:rsidRPr="00D30BC1">
        <w:rPr>
          <w:rFonts w:ascii="Arial" w:hAnsi="Arial" w:cs="Arial"/>
          <w:szCs w:val="24"/>
        </w:rPr>
        <w:t xml:space="preserve">. In ideal situations, such as </w:t>
      </w:r>
      <w:r>
        <w:rPr>
          <w:rFonts w:ascii="Arial" w:hAnsi="Arial" w:cs="Arial"/>
          <w:szCs w:val="24"/>
        </w:rPr>
        <w:t xml:space="preserve">injection in </w:t>
      </w:r>
      <w:r w:rsidRPr="00D30BC1">
        <w:rPr>
          <w:rFonts w:ascii="Arial" w:hAnsi="Arial" w:cs="Arial"/>
          <w:szCs w:val="24"/>
        </w:rPr>
        <w:t xml:space="preserve">homogeneous, high-permeability </w:t>
      </w:r>
      <w:r w:rsidR="00CC0F5F">
        <w:rPr>
          <w:rFonts w:ascii="Arial" w:hAnsi="Arial" w:cs="Arial"/>
          <w:szCs w:val="24"/>
        </w:rPr>
        <w:t>formations</w:t>
      </w:r>
      <w:r w:rsidRPr="00D30BC1">
        <w:rPr>
          <w:rFonts w:ascii="Arial" w:hAnsi="Arial" w:cs="Arial"/>
          <w:szCs w:val="24"/>
        </w:rPr>
        <w:t xml:space="preserve"> </w:t>
      </w:r>
      <w:r>
        <w:rPr>
          <w:rFonts w:ascii="Arial" w:hAnsi="Arial" w:cs="Arial"/>
          <w:szCs w:val="24"/>
        </w:rPr>
        <w:t xml:space="preserve">in a closed system (as a reservoir bounded by impermeable faults), </w:t>
      </w:r>
      <w:r w:rsidRPr="00D30BC1">
        <w:rPr>
          <w:rFonts w:ascii="Arial" w:hAnsi="Arial" w:cs="Arial"/>
          <w:szCs w:val="24"/>
        </w:rPr>
        <w:t xml:space="preserve">and where sufficient and high quality pressure data is available, estimation based on material balance may provide very reliable estimates of ultimate </w:t>
      </w:r>
      <w:r>
        <w:rPr>
          <w:rFonts w:ascii="Arial" w:hAnsi="Arial" w:cs="Arial"/>
          <w:szCs w:val="24"/>
        </w:rPr>
        <w:t>storage</w:t>
      </w:r>
      <w:r w:rsidRPr="00D30BC1">
        <w:rPr>
          <w:rFonts w:ascii="Arial" w:hAnsi="Arial" w:cs="Arial"/>
          <w:szCs w:val="24"/>
        </w:rPr>
        <w:t xml:space="preserve"> at various </w:t>
      </w:r>
      <w:r>
        <w:rPr>
          <w:rFonts w:ascii="Arial" w:hAnsi="Arial" w:cs="Arial"/>
          <w:szCs w:val="24"/>
        </w:rPr>
        <w:t>storage</w:t>
      </w:r>
      <w:r w:rsidRPr="00D30BC1">
        <w:rPr>
          <w:rFonts w:ascii="Arial" w:hAnsi="Arial" w:cs="Arial"/>
          <w:szCs w:val="24"/>
        </w:rPr>
        <w:t xml:space="preserve"> pressures. In complex situations, such as those involving </w:t>
      </w:r>
      <w:r w:rsidR="00DD1EB6">
        <w:rPr>
          <w:rFonts w:ascii="Arial" w:hAnsi="Arial" w:cs="Arial"/>
          <w:szCs w:val="24"/>
        </w:rPr>
        <w:t xml:space="preserve">natural </w:t>
      </w:r>
      <w:r w:rsidRPr="00D30BC1">
        <w:rPr>
          <w:rFonts w:ascii="Arial" w:hAnsi="Arial" w:cs="Arial"/>
          <w:szCs w:val="24"/>
        </w:rPr>
        <w:t xml:space="preserve">water </w:t>
      </w:r>
      <w:r>
        <w:rPr>
          <w:rFonts w:ascii="Arial" w:hAnsi="Arial" w:cs="Arial"/>
          <w:szCs w:val="24"/>
        </w:rPr>
        <w:t>flow</w:t>
      </w:r>
      <w:r w:rsidR="00DD1EB6">
        <w:rPr>
          <w:rFonts w:ascii="Arial" w:hAnsi="Arial" w:cs="Arial"/>
          <w:szCs w:val="24"/>
        </w:rPr>
        <w:t xml:space="preserve">, geologic </w:t>
      </w:r>
      <w:r w:rsidRPr="00D30BC1">
        <w:rPr>
          <w:rFonts w:ascii="Arial" w:hAnsi="Arial" w:cs="Arial"/>
          <w:szCs w:val="24"/>
          <w:lang w:val="en-CA"/>
        </w:rPr>
        <w:t xml:space="preserve">compartmentalization, </w:t>
      </w:r>
      <w:r w:rsidRPr="00D30BC1">
        <w:rPr>
          <w:rFonts w:ascii="Arial" w:hAnsi="Arial" w:cs="Arial"/>
          <w:szCs w:val="24"/>
        </w:rPr>
        <w:t xml:space="preserve">and multilayered or low-permeability </w:t>
      </w:r>
      <w:r w:rsidR="00CC0F5F">
        <w:rPr>
          <w:rFonts w:ascii="Arial" w:hAnsi="Arial" w:cs="Arial"/>
          <w:szCs w:val="24"/>
        </w:rPr>
        <w:t>formations</w:t>
      </w:r>
      <w:r w:rsidRPr="00D30BC1">
        <w:rPr>
          <w:rFonts w:ascii="Arial" w:hAnsi="Arial" w:cs="Arial"/>
          <w:szCs w:val="24"/>
        </w:rPr>
        <w:t xml:space="preserve">, material balance estimates alone may provide erroneous results. Evaluators should take care to accommodate the complexity of the </w:t>
      </w:r>
      <w:r w:rsidR="00CC0F5F">
        <w:rPr>
          <w:rFonts w:ascii="Arial" w:hAnsi="Arial" w:cs="Arial"/>
          <w:szCs w:val="24"/>
        </w:rPr>
        <w:t>formation</w:t>
      </w:r>
      <w:r w:rsidRPr="00D30BC1">
        <w:rPr>
          <w:rFonts w:ascii="Arial" w:hAnsi="Arial" w:cs="Arial"/>
          <w:szCs w:val="24"/>
        </w:rPr>
        <w:t xml:space="preserve"> and its pressure response to </w:t>
      </w:r>
      <w:r>
        <w:rPr>
          <w:rFonts w:ascii="Arial" w:hAnsi="Arial" w:cs="Arial"/>
          <w:szCs w:val="24"/>
        </w:rPr>
        <w:t>injection</w:t>
      </w:r>
      <w:r w:rsidRPr="00D30BC1">
        <w:rPr>
          <w:rFonts w:ascii="Arial" w:hAnsi="Arial" w:cs="Arial"/>
          <w:szCs w:val="24"/>
        </w:rPr>
        <w:t xml:space="preserve"> </w:t>
      </w:r>
      <w:r>
        <w:rPr>
          <w:rFonts w:ascii="Arial" w:hAnsi="Arial" w:cs="Arial"/>
          <w:szCs w:val="24"/>
        </w:rPr>
        <w:t>whe</w:t>
      </w:r>
      <w:r w:rsidRPr="00D30BC1">
        <w:rPr>
          <w:rFonts w:ascii="Arial" w:hAnsi="Arial" w:cs="Arial"/>
          <w:szCs w:val="24"/>
        </w:rPr>
        <w:t xml:space="preserve">n developing uncertainty profiles for the applied </w:t>
      </w:r>
      <w:r w:rsidR="001E0235">
        <w:rPr>
          <w:rFonts w:ascii="Arial" w:hAnsi="Arial" w:cs="Arial"/>
          <w:szCs w:val="24"/>
        </w:rPr>
        <w:t>storage</w:t>
      </w:r>
      <w:r w:rsidRPr="00D30BC1">
        <w:rPr>
          <w:rFonts w:ascii="Arial" w:hAnsi="Arial" w:cs="Arial"/>
          <w:szCs w:val="24"/>
        </w:rPr>
        <w:t xml:space="preserve"> project.</w:t>
      </w:r>
    </w:p>
    <w:p w14:paraId="746D293B" w14:textId="77777777" w:rsidR="006B202E" w:rsidRPr="00D30BC1" w:rsidRDefault="006B202E" w:rsidP="00D30BC1">
      <w:pPr>
        <w:pStyle w:val="CommentText"/>
        <w:jc w:val="both"/>
        <w:rPr>
          <w:rFonts w:ascii="Arial" w:hAnsi="Arial" w:cs="Arial"/>
          <w:szCs w:val="24"/>
        </w:rPr>
      </w:pPr>
    </w:p>
    <w:p w14:paraId="1AD3B705" w14:textId="77777777" w:rsidR="006B202E" w:rsidRPr="00D30BC1" w:rsidRDefault="006B202E" w:rsidP="00D30BC1">
      <w:pPr>
        <w:pStyle w:val="CommentText"/>
        <w:jc w:val="both"/>
        <w:rPr>
          <w:rFonts w:ascii="Arial" w:hAnsi="Arial" w:cs="Arial"/>
          <w:i/>
          <w:iCs/>
          <w:szCs w:val="24"/>
        </w:rPr>
      </w:pPr>
      <w:r w:rsidRPr="00D30BC1">
        <w:rPr>
          <w:rFonts w:ascii="Arial" w:hAnsi="Arial" w:cs="Arial"/>
          <w:szCs w:val="24"/>
        </w:rPr>
        <w:t xml:space="preserve">Computer modeling or simulation can be considered a sophisticated form of material balance analysis. While such modeling can be a reliable predictor of </w:t>
      </w:r>
      <w:r w:rsidR="00CC0F5F">
        <w:rPr>
          <w:rFonts w:ascii="Arial" w:hAnsi="Arial" w:cs="Arial"/>
          <w:szCs w:val="24"/>
        </w:rPr>
        <w:t>storage</w:t>
      </w:r>
      <w:r w:rsidRPr="00D30BC1">
        <w:rPr>
          <w:rFonts w:ascii="Arial" w:hAnsi="Arial" w:cs="Arial"/>
          <w:szCs w:val="24"/>
        </w:rPr>
        <w:t xml:space="preserve"> behavior under a defined development program, the reliability of input rock properties, </w:t>
      </w:r>
      <w:r w:rsidR="00CC0F5F">
        <w:rPr>
          <w:rFonts w:ascii="Arial" w:hAnsi="Arial" w:cs="Arial"/>
          <w:szCs w:val="24"/>
        </w:rPr>
        <w:t>formation</w:t>
      </w:r>
      <w:r w:rsidRPr="00D30BC1">
        <w:rPr>
          <w:rFonts w:ascii="Arial" w:hAnsi="Arial" w:cs="Arial"/>
          <w:szCs w:val="24"/>
        </w:rPr>
        <w:t xml:space="preserve"> geometry,</w:t>
      </w:r>
      <w:r>
        <w:rPr>
          <w:rFonts w:ascii="Arial" w:hAnsi="Arial" w:cs="Arial"/>
          <w:szCs w:val="24"/>
        </w:rPr>
        <w:t xml:space="preserve"> pore and fluid compressibility</w:t>
      </w:r>
      <w:r w:rsidR="00DD1EB6">
        <w:rPr>
          <w:rFonts w:ascii="Arial" w:hAnsi="Arial" w:cs="Arial"/>
          <w:szCs w:val="24"/>
        </w:rPr>
        <w:t>,</w:t>
      </w:r>
      <w:r w:rsidRPr="00D30BC1">
        <w:rPr>
          <w:rFonts w:ascii="Arial" w:hAnsi="Arial" w:cs="Arial"/>
          <w:szCs w:val="24"/>
        </w:rPr>
        <w:t xml:space="preserve"> relative permeability functions, fluid properties</w:t>
      </w:r>
      <w:r>
        <w:rPr>
          <w:rFonts w:ascii="Arial" w:hAnsi="Arial" w:cs="Arial"/>
          <w:szCs w:val="24"/>
        </w:rPr>
        <w:t xml:space="preserve">, </w:t>
      </w:r>
      <w:r w:rsidR="009E5C3A">
        <w:rPr>
          <w:rFonts w:ascii="Arial" w:hAnsi="Arial" w:cs="Arial"/>
          <w:szCs w:val="24"/>
        </w:rPr>
        <w:t xml:space="preserve">location of fault systems, </w:t>
      </w:r>
      <w:r>
        <w:rPr>
          <w:rFonts w:ascii="Arial" w:hAnsi="Arial" w:cs="Arial"/>
          <w:szCs w:val="24"/>
        </w:rPr>
        <w:t>and acceptable overpressures</w:t>
      </w:r>
      <w:r w:rsidRPr="00D30BC1">
        <w:rPr>
          <w:rFonts w:ascii="Arial" w:hAnsi="Arial" w:cs="Arial"/>
          <w:szCs w:val="24"/>
        </w:rPr>
        <w:t xml:space="preserve"> are critical. Predictive models are most reliable </w:t>
      </w:r>
      <w:r>
        <w:rPr>
          <w:rFonts w:ascii="Arial" w:hAnsi="Arial" w:cs="Arial"/>
          <w:szCs w:val="24"/>
        </w:rPr>
        <w:t>for</w:t>
      </w:r>
      <w:r w:rsidRPr="00D30BC1">
        <w:rPr>
          <w:rFonts w:ascii="Arial" w:hAnsi="Arial" w:cs="Arial"/>
          <w:szCs w:val="24"/>
        </w:rPr>
        <w:t xml:space="preserve"> estimating </w:t>
      </w:r>
      <w:r>
        <w:rPr>
          <w:rFonts w:ascii="Arial" w:hAnsi="Arial" w:cs="Arial"/>
          <w:szCs w:val="24"/>
        </w:rPr>
        <w:t>storable</w:t>
      </w:r>
      <w:r w:rsidRPr="00D30BC1">
        <w:rPr>
          <w:rFonts w:ascii="Arial" w:hAnsi="Arial" w:cs="Arial"/>
          <w:szCs w:val="24"/>
        </w:rPr>
        <w:t xml:space="preserve"> quantities when there is sufficient </w:t>
      </w:r>
      <w:r>
        <w:rPr>
          <w:rFonts w:ascii="Arial" w:hAnsi="Arial" w:cs="Arial"/>
          <w:szCs w:val="24"/>
        </w:rPr>
        <w:t>injection</w:t>
      </w:r>
      <w:r w:rsidRPr="00D30BC1">
        <w:rPr>
          <w:rFonts w:ascii="Arial" w:hAnsi="Arial" w:cs="Arial"/>
          <w:szCs w:val="24"/>
        </w:rPr>
        <w:t xml:space="preserve"> history to validate the model through history matching.</w:t>
      </w:r>
    </w:p>
    <w:p w14:paraId="4720F496" w14:textId="77777777" w:rsidR="006B202E" w:rsidRPr="00D30BC1" w:rsidRDefault="006B202E" w:rsidP="00D30BC1">
      <w:pPr>
        <w:pStyle w:val="Heading8"/>
        <w:rPr>
          <w:b w:val="0"/>
          <w:bCs w:val="0"/>
          <w:sz w:val="20"/>
        </w:rPr>
      </w:pPr>
    </w:p>
    <w:p w14:paraId="5653FA0E" w14:textId="77777777" w:rsidR="006B202E" w:rsidRPr="00D30BC1" w:rsidRDefault="006B202E" w:rsidP="00D30BC1">
      <w:pPr>
        <w:pStyle w:val="Heading8"/>
      </w:pPr>
      <w:r w:rsidRPr="00D30BC1">
        <w:t xml:space="preserve">4.1.4 </w:t>
      </w:r>
      <w:r w:rsidRPr="00D30BC1">
        <w:tab/>
      </w:r>
      <w:r>
        <w:t>Injection</w:t>
      </w:r>
      <w:r w:rsidRPr="00D30BC1">
        <w:t xml:space="preserve"> Performance Analysis</w:t>
      </w:r>
    </w:p>
    <w:p w14:paraId="6EACC393" w14:textId="77777777" w:rsidR="006B202E" w:rsidRPr="00D30BC1" w:rsidRDefault="006B202E" w:rsidP="00D30BC1">
      <w:pPr>
        <w:rPr>
          <w:rFonts w:ascii="Arial" w:hAnsi="Arial" w:cs="Arial"/>
          <w:sz w:val="18"/>
        </w:rPr>
      </w:pPr>
    </w:p>
    <w:p w14:paraId="74D7CC18" w14:textId="77777777" w:rsidR="006B202E" w:rsidRPr="00D30BC1" w:rsidRDefault="006B202E" w:rsidP="00D30BC1">
      <w:pPr>
        <w:pStyle w:val="CommentText"/>
        <w:jc w:val="both"/>
        <w:rPr>
          <w:rFonts w:ascii="Arial" w:hAnsi="Arial" w:cs="Arial"/>
          <w:szCs w:val="24"/>
        </w:rPr>
      </w:pPr>
      <w:r w:rsidRPr="00D30BC1">
        <w:rPr>
          <w:rFonts w:ascii="Arial" w:hAnsi="Arial" w:cs="Arial"/>
          <w:szCs w:val="24"/>
        </w:rPr>
        <w:t>Analysis of the change</w:t>
      </w:r>
      <w:r>
        <w:rPr>
          <w:rFonts w:ascii="Arial" w:hAnsi="Arial" w:cs="Arial"/>
          <w:szCs w:val="24"/>
        </w:rPr>
        <w:t>s</w:t>
      </w:r>
      <w:r w:rsidRPr="00D30BC1">
        <w:rPr>
          <w:rFonts w:ascii="Arial" w:hAnsi="Arial" w:cs="Arial"/>
          <w:szCs w:val="24"/>
        </w:rPr>
        <w:t xml:space="preserve"> in </w:t>
      </w:r>
      <w:r>
        <w:rPr>
          <w:rFonts w:ascii="Arial" w:hAnsi="Arial" w:cs="Arial"/>
          <w:szCs w:val="24"/>
        </w:rPr>
        <w:t>injection</w:t>
      </w:r>
      <w:r w:rsidRPr="00D30BC1">
        <w:rPr>
          <w:rFonts w:ascii="Arial" w:hAnsi="Arial" w:cs="Arial"/>
          <w:szCs w:val="24"/>
        </w:rPr>
        <w:t xml:space="preserve"> </w:t>
      </w:r>
      <w:r>
        <w:rPr>
          <w:rFonts w:ascii="Arial" w:hAnsi="Arial" w:cs="Arial"/>
          <w:szCs w:val="24"/>
        </w:rPr>
        <w:t xml:space="preserve">pressure vs. injection </w:t>
      </w:r>
      <w:r w:rsidRPr="00D30BC1">
        <w:rPr>
          <w:rFonts w:ascii="Arial" w:hAnsi="Arial" w:cs="Arial"/>
          <w:szCs w:val="24"/>
        </w:rPr>
        <w:t>rates</w:t>
      </w:r>
      <w:r>
        <w:rPr>
          <w:rFonts w:ascii="Arial" w:hAnsi="Arial" w:cs="Arial"/>
          <w:szCs w:val="24"/>
        </w:rPr>
        <w:t>, time, and cumulative injection and pressure transients</w:t>
      </w:r>
      <w:r w:rsidRPr="00D30BC1">
        <w:rPr>
          <w:rFonts w:ascii="Arial" w:hAnsi="Arial" w:cs="Arial"/>
          <w:szCs w:val="24"/>
        </w:rPr>
        <w:t xml:space="preserve"> provides valuable information to predict ultimate </w:t>
      </w:r>
      <w:r>
        <w:rPr>
          <w:rFonts w:ascii="Arial" w:hAnsi="Arial" w:cs="Arial"/>
          <w:szCs w:val="24"/>
        </w:rPr>
        <w:t>storable</w:t>
      </w:r>
      <w:r w:rsidRPr="00D30BC1">
        <w:rPr>
          <w:rFonts w:ascii="Arial" w:hAnsi="Arial" w:cs="Arial"/>
          <w:szCs w:val="24"/>
        </w:rPr>
        <w:t xml:space="preserve"> quantities. </w:t>
      </w:r>
      <w:r>
        <w:rPr>
          <w:rFonts w:ascii="Arial" w:hAnsi="Arial" w:cs="Arial"/>
          <w:szCs w:val="24"/>
        </w:rPr>
        <w:t xml:space="preserve">The </w:t>
      </w:r>
      <w:r w:rsidRPr="00D30BC1">
        <w:rPr>
          <w:rFonts w:ascii="Arial" w:hAnsi="Arial" w:cs="Arial"/>
          <w:szCs w:val="24"/>
        </w:rPr>
        <w:t xml:space="preserve">bottomhole or </w:t>
      </w:r>
      <w:r>
        <w:rPr>
          <w:rFonts w:ascii="Arial" w:hAnsi="Arial" w:cs="Arial"/>
          <w:szCs w:val="24"/>
        </w:rPr>
        <w:t>injection</w:t>
      </w:r>
      <w:r w:rsidRPr="00D30BC1">
        <w:rPr>
          <w:rFonts w:ascii="Arial" w:hAnsi="Arial" w:cs="Arial"/>
          <w:szCs w:val="24"/>
        </w:rPr>
        <w:t xml:space="preserve"> pressures can be extrapolated to an economic limit condition to estimate </w:t>
      </w:r>
      <w:r>
        <w:rPr>
          <w:rFonts w:ascii="Arial" w:hAnsi="Arial" w:cs="Arial"/>
          <w:szCs w:val="24"/>
        </w:rPr>
        <w:t>storable quantities</w:t>
      </w:r>
      <w:r w:rsidRPr="00D30BC1">
        <w:rPr>
          <w:rFonts w:ascii="Arial" w:hAnsi="Arial" w:cs="Arial"/>
          <w:szCs w:val="24"/>
        </w:rPr>
        <w:t xml:space="preserve">. </w:t>
      </w:r>
    </w:p>
    <w:p w14:paraId="15BDB1ED" w14:textId="77777777" w:rsidR="006B202E" w:rsidRPr="00D30BC1" w:rsidRDefault="006B202E" w:rsidP="00D30BC1">
      <w:pPr>
        <w:pStyle w:val="CommentText"/>
        <w:jc w:val="both"/>
        <w:rPr>
          <w:rFonts w:ascii="Arial" w:hAnsi="Arial" w:cs="Arial"/>
          <w:szCs w:val="24"/>
        </w:rPr>
      </w:pPr>
    </w:p>
    <w:p w14:paraId="295F98A8" w14:textId="77777777" w:rsidR="006B202E" w:rsidRPr="00D30BC1" w:rsidRDefault="006B202E" w:rsidP="00D30BC1">
      <w:pPr>
        <w:jc w:val="both"/>
        <w:rPr>
          <w:rFonts w:ascii="Arial" w:hAnsi="Arial" w:cs="Arial"/>
          <w:sz w:val="20"/>
        </w:rPr>
      </w:pPr>
      <w:r w:rsidRPr="00D30BC1">
        <w:rPr>
          <w:rFonts w:ascii="Arial" w:hAnsi="Arial" w:cs="Arial"/>
          <w:sz w:val="20"/>
        </w:rPr>
        <w:t xml:space="preserve">Reliable results require a sufficient period of stable operating conditions after wells in a </w:t>
      </w:r>
      <w:r w:rsidR="0027489B">
        <w:rPr>
          <w:rFonts w:ascii="Arial" w:hAnsi="Arial" w:cs="Arial"/>
          <w:sz w:val="20"/>
        </w:rPr>
        <w:t>formation</w:t>
      </w:r>
      <w:r w:rsidRPr="00D30BC1">
        <w:rPr>
          <w:rFonts w:ascii="Arial" w:hAnsi="Arial" w:cs="Arial"/>
          <w:sz w:val="20"/>
        </w:rPr>
        <w:t xml:space="preserve"> have established </w:t>
      </w:r>
      <w:r>
        <w:rPr>
          <w:rFonts w:ascii="Arial" w:hAnsi="Arial" w:cs="Arial"/>
          <w:sz w:val="20"/>
        </w:rPr>
        <w:t>their CO</w:t>
      </w:r>
      <w:r w:rsidRPr="00DD1EB6">
        <w:rPr>
          <w:rFonts w:ascii="Arial" w:hAnsi="Arial" w:cs="Arial"/>
          <w:sz w:val="20"/>
          <w:vertAlign w:val="subscript"/>
        </w:rPr>
        <w:t>2</w:t>
      </w:r>
      <w:r>
        <w:rPr>
          <w:rFonts w:ascii="Arial" w:hAnsi="Arial" w:cs="Arial"/>
          <w:sz w:val="20"/>
        </w:rPr>
        <w:t xml:space="preserve"> injectivity</w:t>
      </w:r>
      <w:r w:rsidR="00DD1EB6">
        <w:rPr>
          <w:rFonts w:ascii="Arial" w:hAnsi="Arial" w:cs="Arial"/>
          <w:sz w:val="20"/>
        </w:rPr>
        <w:t>.</w:t>
      </w:r>
      <w:r w:rsidRPr="00D30BC1">
        <w:rPr>
          <w:rFonts w:ascii="Arial" w:hAnsi="Arial" w:cs="Arial"/>
          <w:sz w:val="20"/>
        </w:rPr>
        <w:t xml:space="preserve"> In estimating </w:t>
      </w:r>
      <w:r>
        <w:rPr>
          <w:rFonts w:ascii="Arial" w:hAnsi="Arial" w:cs="Arial"/>
          <w:sz w:val="20"/>
        </w:rPr>
        <w:t>storable</w:t>
      </w:r>
      <w:r w:rsidRPr="00D30BC1">
        <w:rPr>
          <w:rFonts w:ascii="Arial" w:hAnsi="Arial" w:cs="Arial"/>
          <w:sz w:val="20"/>
        </w:rPr>
        <w:t xml:space="preserve"> quantities, evaluators must consider complicating factors affecting </w:t>
      </w:r>
      <w:r>
        <w:rPr>
          <w:rFonts w:ascii="Arial" w:hAnsi="Arial" w:cs="Arial"/>
          <w:sz w:val="20"/>
        </w:rPr>
        <w:t>injection</w:t>
      </w:r>
      <w:r w:rsidRPr="00D30BC1">
        <w:rPr>
          <w:rFonts w:ascii="Arial" w:hAnsi="Arial" w:cs="Arial"/>
          <w:sz w:val="20"/>
        </w:rPr>
        <w:t xml:space="preserve"> performance behavior, such as variable </w:t>
      </w:r>
      <w:r w:rsidR="0027489B">
        <w:rPr>
          <w:rFonts w:ascii="Arial" w:hAnsi="Arial" w:cs="Arial"/>
          <w:sz w:val="20"/>
        </w:rPr>
        <w:t>rock</w:t>
      </w:r>
      <w:r w:rsidRPr="00D30BC1">
        <w:rPr>
          <w:rFonts w:ascii="Arial" w:hAnsi="Arial" w:cs="Arial"/>
          <w:sz w:val="20"/>
        </w:rPr>
        <w:t xml:space="preserve"> and fluid properties, transient vs. stabilized flow, changes in operating conditions, interference effects, and </w:t>
      </w:r>
      <w:r>
        <w:rPr>
          <w:rFonts w:ascii="Arial" w:hAnsi="Arial" w:cs="Arial"/>
          <w:sz w:val="20"/>
        </w:rPr>
        <w:t>drive</w:t>
      </w:r>
      <w:r w:rsidRPr="00D30BC1">
        <w:rPr>
          <w:rFonts w:ascii="Arial" w:hAnsi="Arial" w:cs="Arial"/>
          <w:sz w:val="20"/>
        </w:rPr>
        <w:t xml:space="preserve"> mechanisms. In early stages of </w:t>
      </w:r>
      <w:r>
        <w:rPr>
          <w:rFonts w:ascii="Arial" w:hAnsi="Arial" w:cs="Arial"/>
          <w:sz w:val="20"/>
        </w:rPr>
        <w:t>injection</w:t>
      </w:r>
      <w:r w:rsidRPr="00D30BC1">
        <w:rPr>
          <w:rFonts w:ascii="Arial" w:hAnsi="Arial" w:cs="Arial"/>
          <w:sz w:val="20"/>
        </w:rPr>
        <w:t>, there may be significant uncertainty in both the ultimate performance profile and the commercial factors that impact</w:t>
      </w:r>
      <w:r>
        <w:rPr>
          <w:rFonts w:ascii="Arial" w:hAnsi="Arial" w:cs="Arial"/>
          <w:sz w:val="20"/>
        </w:rPr>
        <w:t xml:space="preserve"> injection rate or</w:t>
      </w:r>
      <w:r w:rsidRPr="00D30BC1">
        <w:rPr>
          <w:rFonts w:ascii="Arial" w:hAnsi="Arial" w:cs="Arial"/>
          <w:sz w:val="20"/>
        </w:rPr>
        <w:t xml:space="preserve"> </w:t>
      </w:r>
      <w:r>
        <w:rPr>
          <w:rFonts w:ascii="Arial" w:hAnsi="Arial" w:cs="Arial"/>
          <w:sz w:val="20"/>
        </w:rPr>
        <w:t>project performance</w:t>
      </w:r>
      <w:r w:rsidRPr="00D30BC1">
        <w:rPr>
          <w:rFonts w:ascii="Arial" w:hAnsi="Arial" w:cs="Arial"/>
          <w:sz w:val="20"/>
        </w:rPr>
        <w:t xml:space="preserve">. Such uncertainties should be reflected in the resources categorization. For very mature </w:t>
      </w:r>
      <w:r w:rsidR="00B66E1B">
        <w:rPr>
          <w:rFonts w:ascii="Arial" w:hAnsi="Arial" w:cs="Arial"/>
          <w:sz w:val="20"/>
        </w:rPr>
        <w:t>storage projects</w:t>
      </w:r>
      <w:r w:rsidRPr="00D30BC1">
        <w:rPr>
          <w:rFonts w:ascii="Arial" w:hAnsi="Arial" w:cs="Arial"/>
          <w:sz w:val="20"/>
        </w:rPr>
        <w:t xml:space="preserve">, the future </w:t>
      </w:r>
      <w:r>
        <w:rPr>
          <w:rFonts w:ascii="Arial" w:hAnsi="Arial" w:cs="Arial"/>
          <w:sz w:val="20"/>
        </w:rPr>
        <w:t>injection</w:t>
      </w:r>
      <w:r w:rsidRPr="00D30BC1">
        <w:rPr>
          <w:rFonts w:ascii="Arial" w:hAnsi="Arial" w:cs="Arial"/>
          <w:sz w:val="20"/>
        </w:rPr>
        <w:t xml:space="preserve"> forecast may be sufficiently well defined that the </w:t>
      </w:r>
      <w:r w:rsidRPr="00BF5934">
        <w:rPr>
          <w:rFonts w:ascii="Arial" w:hAnsi="Arial" w:cs="Arial"/>
          <w:sz w:val="20"/>
        </w:rPr>
        <w:t xml:space="preserve">remaining uncertainty in the technical profile is not significant; in such cases, the </w:t>
      </w:r>
      <w:r w:rsidRPr="00BF5934">
        <w:rPr>
          <w:rFonts w:cs="Arial"/>
          <w:sz w:val="18"/>
        </w:rPr>
        <w:t>“</w:t>
      </w:r>
      <w:r w:rsidRPr="00BF5934">
        <w:rPr>
          <w:rFonts w:ascii="Arial" w:hAnsi="Arial" w:cs="Arial"/>
          <w:sz w:val="20"/>
        </w:rPr>
        <w:t>best estimate</w:t>
      </w:r>
      <w:r w:rsidRPr="00BF5934">
        <w:rPr>
          <w:rFonts w:cs="Arial"/>
          <w:sz w:val="18"/>
        </w:rPr>
        <w:t>”</w:t>
      </w:r>
      <w:r w:rsidRPr="00BF5934">
        <w:rPr>
          <w:rFonts w:ascii="Arial" w:hAnsi="Arial" w:cs="Arial"/>
          <w:sz w:val="20"/>
        </w:rPr>
        <w:t xml:space="preserve"> 2P scenario may also be used for the 1P and 3P injection forecasts.  However, there may still be</w:t>
      </w:r>
      <w:r w:rsidRPr="00D30BC1">
        <w:rPr>
          <w:rFonts w:ascii="Arial" w:hAnsi="Arial" w:cs="Arial"/>
          <w:sz w:val="20"/>
        </w:rPr>
        <w:t xml:space="preserve"> commercial uncertainties that will impact the abandonment rate</w:t>
      </w:r>
      <w:r w:rsidR="00B20C76">
        <w:rPr>
          <w:rFonts w:ascii="Arial" w:hAnsi="Arial" w:cs="Arial"/>
          <w:sz w:val="20"/>
        </w:rPr>
        <w:t>/pressure</w:t>
      </w:r>
      <w:r w:rsidRPr="00D30BC1">
        <w:rPr>
          <w:rFonts w:ascii="Arial" w:hAnsi="Arial" w:cs="Arial"/>
          <w:sz w:val="20"/>
        </w:rPr>
        <w:t>, and these should be accommodated in the resources categorization.</w:t>
      </w:r>
    </w:p>
    <w:p w14:paraId="53702A6A" w14:textId="77777777" w:rsidR="006B202E" w:rsidRPr="00D30BC1" w:rsidRDefault="006B202E" w:rsidP="00D30BC1">
      <w:pPr>
        <w:pStyle w:val="CommentText"/>
      </w:pPr>
      <w:r w:rsidRPr="00D30BC1">
        <w:t xml:space="preserve"> </w:t>
      </w:r>
    </w:p>
    <w:p w14:paraId="111805FE" w14:textId="77777777" w:rsidR="006B202E" w:rsidRPr="00D30BC1" w:rsidRDefault="006B202E" w:rsidP="00D30BC1">
      <w:pPr>
        <w:pStyle w:val="Heading2"/>
      </w:pPr>
      <w:r w:rsidRPr="00D30BC1">
        <w:t xml:space="preserve">4.2   Deterministic and Probabilistic Methods </w:t>
      </w:r>
    </w:p>
    <w:p w14:paraId="61AAA0D0" w14:textId="77777777" w:rsidR="006B202E" w:rsidRPr="00D30BC1" w:rsidRDefault="006B202E" w:rsidP="00D30BC1">
      <w:pPr>
        <w:rPr>
          <w:rFonts w:ascii="Arial" w:hAnsi="Arial" w:cs="Arial"/>
          <w:sz w:val="20"/>
        </w:rPr>
      </w:pPr>
    </w:p>
    <w:p w14:paraId="69E82699" w14:textId="77777777" w:rsidR="006B202E" w:rsidRDefault="006B202E" w:rsidP="00DD1EB6">
      <w:pPr>
        <w:jc w:val="both"/>
        <w:rPr>
          <w:rFonts w:ascii="Arial" w:hAnsi="Arial" w:cs="Arial"/>
          <w:sz w:val="20"/>
        </w:rPr>
      </w:pPr>
      <w:r w:rsidRPr="00D30BC1">
        <w:rPr>
          <w:rFonts w:ascii="Arial" w:hAnsi="Arial" w:cs="Arial"/>
          <w:sz w:val="20"/>
        </w:rPr>
        <w:t xml:space="preserve">Regardless of the analytical procedure used, </w:t>
      </w:r>
      <w:r>
        <w:rPr>
          <w:rFonts w:ascii="Arial" w:hAnsi="Arial" w:cs="Arial"/>
          <w:sz w:val="20"/>
        </w:rPr>
        <w:t>storage</w:t>
      </w:r>
      <w:r w:rsidRPr="00D30BC1">
        <w:rPr>
          <w:rFonts w:ascii="Arial" w:hAnsi="Arial" w:cs="Arial"/>
          <w:sz w:val="20"/>
        </w:rPr>
        <w:t xml:space="preserve"> estimates may be prepared using either deterministic or probabilistic methods. </w:t>
      </w:r>
    </w:p>
    <w:p w14:paraId="0A1DB006" w14:textId="77777777" w:rsidR="00DD1EB6" w:rsidRPr="00DD1EB6" w:rsidRDefault="00DD1EB6" w:rsidP="00DD1EB6">
      <w:pPr>
        <w:jc w:val="both"/>
        <w:rPr>
          <w:rFonts w:ascii="Arial" w:hAnsi="Arial" w:cs="Arial"/>
          <w:sz w:val="20"/>
        </w:rPr>
      </w:pPr>
    </w:p>
    <w:p w14:paraId="2FF693FF" w14:textId="77777777" w:rsidR="006B202E" w:rsidRPr="006115E7" w:rsidRDefault="006B202E" w:rsidP="00EF0BA4">
      <w:pPr>
        <w:spacing w:after="240"/>
        <w:jc w:val="both"/>
        <w:rPr>
          <w:rFonts w:ascii="Arial" w:hAnsi="Arial" w:cs="Arial"/>
          <w:i/>
          <w:iCs/>
          <w:sz w:val="20"/>
          <w:szCs w:val="20"/>
        </w:rPr>
      </w:pPr>
      <w:r w:rsidRPr="006115E7">
        <w:rPr>
          <w:rFonts w:ascii="Arial" w:hAnsi="Arial" w:cs="Arial"/>
          <w:sz w:val="20"/>
          <w:szCs w:val="20"/>
        </w:rPr>
        <w:t>In the deterministic method, a discrete value or array of values for each parameter is selected based on the estimator’s choice of the values that are most appropriate for the corresponding resource category. A single outcome of storable</w:t>
      </w:r>
      <w:r>
        <w:rPr>
          <w:rFonts w:ascii="Arial" w:hAnsi="Arial" w:cs="Arial"/>
          <w:sz w:val="20"/>
          <w:szCs w:val="20"/>
        </w:rPr>
        <w:t xml:space="preserve"> </w:t>
      </w:r>
      <w:r w:rsidRPr="006115E7">
        <w:rPr>
          <w:rFonts w:ascii="Arial" w:hAnsi="Arial" w:cs="Arial"/>
          <w:sz w:val="20"/>
          <w:szCs w:val="20"/>
        </w:rPr>
        <w:t xml:space="preserve">quantities is derived for each deterministic increment or scenario. </w:t>
      </w:r>
    </w:p>
    <w:p w14:paraId="219871DC" w14:textId="77777777" w:rsidR="006B202E" w:rsidRPr="00D30BC1" w:rsidRDefault="006B202E" w:rsidP="00D30BC1">
      <w:pPr>
        <w:pStyle w:val="NormalWeb"/>
        <w:jc w:val="both"/>
        <w:rPr>
          <w:color w:val="auto"/>
        </w:rPr>
      </w:pPr>
      <w:r w:rsidRPr="00D30BC1">
        <w:rPr>
          <w:color w:val="auto"/>
        </w:rPr>
        <w:t xml:space="preserve">In the probabilistic method, the estimator defines a distribution representing the full range of possible values for each input parameter. These distributions may be randomly sampled (typically using Monte Carlo simulation software) to compute a full range and distribution of potential outcome of results of </w:t>
      </w:r>
      <w:r>
        <w:rPr>
          <w:color w:val="auto"/>
        </w:rPr>
        <w:t>stora</w:t>
      </w:r>
      <w:r w:rsidR="002A08AB">
        <w:rPr>
          <w:color w:val="auto"/>
        </w:rPr>
        <w:t>ge</w:t>
      </w:r>
      <w:r>
        <w:rPr>
          <w:color w:val="auto"/>
        </w:rPr>
        <w:t xml:space="preserve"> </w:t>
      </w:r>
      <w:r w:rsidRPr="00D30BC1">
        <w:rPr>
          <w:color w:val="auto"/>
        </w:rPr>
        <w:t xml:space="preserve">quantities </w:t>
      </w:r>
      <w:r w:rsidRPr="00E81095">
        <w:rPr>
          <w:color w:val="auto"/>
          <w:highlight w:val="red"/>
        </w:rPr>
        <w:t xml:space="preserve">(see </w:t>
      </w:r>
      <w:r w:rsidRPr="00E81095">
        <w:rPr>
          <w:rFonts w:ascii="Times New Roman" w:hAnsi="Times New Roman"/>
          <w:color w:val="auto"/>
          <w:sz w:val="18"/>
          <w:highlight w:val="red"/>
        </w:rPr>
        <w:t>“</w:t>
      </w:r>
      <w:r w:rsidRPr="00E81095">
        <w:rPr>
          <w:color w:val="auto"/>
          <w:highlight w:val="red"/>
        </w:rPr>
        <w:t>2001 Supplemental Guidelines,</w:t>
      </w:r>
      <w:r w:rsidRPr="00E81095">
        <w:rPr>
          <w:rFonts w:ascii="Times New Roman" w:hAnsi="Times New Roman"/>
          <w:color w:val="auto"/>
          <w:sz w:val="18"/>
          <w:highlight w:val="red"/>
        </w:rPr>
        <w:t>”</w:t>
      </w:r>
      <w:r w:rsidRPr="00E81095">
        <w:rPr>
          <w:color w:val="auto"/>
          <w:highlight w:val="red"/>
        </w:rPr>
        <w:t xml:space="preserve"> Chapter 5, for more detailed discussion of probabilistic reserves estimation procedures)</w:t>
      </w:r>
      <w:r w:rsidRPr="00D30BC1">
        <w:rPr>
          <w:color w:val="auto"/>
        </w:rPr>
        <w:t xml:space="preserve">. This approach is most often applied to volumetric resource calculations in the early phases of an exploitation and development projects. The </w:t>
      </w:r>
      <w:r w:rsidRPr="003660F0">
        <w:rPr>
          <w:color w:val="auto"/>
          <w:highlight w:val="red"/>
        </w:rPr>
        <w:t>Resources Categorization guidelines</w:t>
      </w:r>
      <w:r w:rsidRPr="00D30BC1">
        <w:rPr>
          <w:color w:val="auto"/>
        </w:rPr>
        <w:t xml:space="preserve"> include criteria that provide specific limits to parameters associated with each category. Moreover, the resource analysis must consider commercial uncertainties. Accordingly, when probabilistic methods are used, constraints on parameters may be required to ensure that results are not outside the range imposed by the category deterministic guidelines and commercial uncertainties. </w:t>
      </w:r>
    </w:p>
    <w:p w14:paraId="7054BEB0" w14:textId="77777777" w:rsidR="006B202E" w:rsidRPr="00D30BC1" w:rsidRDefault="006B202E" w:rsidP="00D30BC1">
      <w:pPr>
        <w:pStyle w:val="NormalWeb"/>
        <w:jc w:val="both"/>
        <w:rPr>
          <w:color w:val="auto"/>
        </w:rPr>
      </w:pPr>
      <w:r w:rsidRPr="00D30BC1">
        <w:rPr>
          <w:color w:val="auto"/>
        </w:rPr>
        <w:t xml:space="preserve">Deterministic volumes are estimated for discrete increments and defined scenarios. While deterministic estimates may have broadly inferred confidence levels, they do not have associated quantitatively defined probabilities. Nevertheless, the ranges of the probability guidelines established for the probabilistic method </w:t>
      </w:r>
      <w:r w:rsidRPr="00E81095">
        <w:rPr>
          <w:color w:val="auto"/>
          <w:highlight w:val="red"/>
        </w:rPr>
        <w:t>(see Range of Uncertainty, section 2.2.1)</w:t>
      </w:r>
      <w:r w:rsidRPr="00D30BC1">
        <w:rPr>
          <w:color w:val="auto"/>
        </w:rPr>
        <w:t xml:space="preserve"> influence the amount of uncertainty generally inferred in the estimate derived from the deterministic method.</w:t>
      </w:r>
    </w:p>
    <w:p w14:paraId="7E2467DC" w14:textId="77777777" w:rsidR="006B202E" w:rsidRPr="00D30BC1" w:rsidRDefault="006B202E" w:rsidP="00D30BC1">
      <w:pPr>
        <w:jc w:val="both"/>
        <w:rPr>
          <w:rFonts w:ascii="Arial" w:hAnsi="Arial" w:cs="Arial"/>
          <w:sz w:val="20"/>
        </w:rPr>
      </w:pPr>
      <w:r w:rsidRPr="00D30BC1">
        <w:rPr>
          <w:rFonts w:ascii="Arial" w:hAnsi="Arial" w:cs="Arial"/>
          <w:sz w:val="20"/>
        </w:rPr>
        <w:t xml:space="preserve">Both deterministic and probabilistic methods may be used in combination to ensure that results of either method are reasonable. </w:t>
      </w:r>
    </w:p>
    <w:p w14:paraId="55B161ED" w14:textId="77777777" w:rsidR="006B202E" w:rsidRPr="00D30BC1" w:rsidRDefault="006B202E" w:rsidP="00D30BC1">
      <w:pPr>
        <w:pStyle w:val="CommentText"/>
        <w:rPr>
          <w:rFonts w:ascii="Arial" w:hAnsi="Arial" w:cs="Arial"/>
          <w:strike/>
          <w:szCs w:val="24"/>
        </w:rPr>
      </w:pPr>
    </w:p>
    <w:p w14:paraId="11069672" w14:textId="77777777" w:rsidR="006B202E" w:rsidRPr="00D30BC1" w:rsidRDefault="006B202E" w:rsidP="006B202E">
      <w:pPr>
        <w:pStyle w:val="Heading8"/>
        <w:numPr>
          <w:ilvl w:val="2"/>
          <w:numId w:val="26"/>
        </w:numPr>
      </w:pPr>
      <w:r w:rsidRPr="00D30BC1">
        <w:t>Aggregation Methods</w:t>
      </w:r>
    </w:p>
    <w:p w14:paraId="44C6429E" w14:textId="77777777" w:rsidR="006B202E" w:rsidRPr="00D30BC1" w:rsidRDefault="006B202E" w:rsidP="00D30BC1"/>
    <w:p w14:paraId="04F691E0" w14:textId="77777777" w:rsidR="006B202E" w:rsidRPr="002A08AB" w:rsidRDefault="006B202E" w:rsidP="00D30BC1">
      <w:pPr>
        <w:jc w:val="both"/>
        <w:rPr>
          <w:rFonts w:ascii="Arial" w:hAnsi="Arial" w:cs="Arial"/>
          <w:sz w:val="20"/>
        </w:rPr>
      </w:pPr>
      <w:r>
        <w:rPr>
          <w:rFonts w:ascii="Arial" w:hAnsi="Arial" w:cs="Arial"/>
          <w:sz w:val="20"/>
        </w:rPr>
        <w:t xml:space="preserve">Storable </w:t>
      </w:r>
      <w:r w:rsidRPr="00D30BC1">
        <w:rPr>
          <w:rFonts w:ascii="Arial" w:hAnsi="Arial" w:cs="Arial"/>
          <w:sz w:val="20"/>
        </w:rPr>
        <w:t xml:space="preserve">quantities are generally estimated and categorized according to certainty of </w:t>
      </w:r>
      <w:r>
        <w:rPr>
          <w:rFonts w:ascii="Arial" w:hAnsi="Arial" w:cs="Arial"/>
          <w:sz w:val="20"/>
        </w:rPr>
        <w:t>storage</w:t>
      </w:r>
      <w:r w:rsidRPr="00D30BC1">
        <w:rPr>
          <w:rFonts w:ascii="Arial" w:hAnsi="Arial" w:cs="Arial"/>
          <w:sz w:val="20"/>
        </w:rPr>
        <w:t xml:space="preserve"> within individual </w:t>
      </w:r>
      <w:r w:rsidR="00B66E1B">
        <w:rPr>
          <w:rFonts w:ascii="Arial" w:hAnsi="Arial" w:cs="Arial"/>
          <w:sz w:val="20"/>
        </w:rPr>
        <w:t xml:space="preserve">formations </w:t>
      </w:r>
      <w:r w:rsidRPr="00D30BC1">
        <w:rPr>
          <w:rFonts w:ascii="Arial" w:hAnsi="Arial" w:cs="Arial"/>
          <w:sz w:val="20"/>
        </w:rPr>
        <w:t xml:space="preserve">or portions of </w:t>
      </w:r>
      <w:r w:rsidR="00B66E1B">
        <w:rPr>
          <w:rFonts w:ascii="Arial" w:hAnsi="Arial" w:cs="Arial"/>
          <w:sz w:val="20"/>
        </w:rPr>
        <w:t>formations</w:t>
      </w:r>
      <w:r w:rsidRPr="00D30BC1">
        <w:rPr>
          <w:rFonts w:ascii="Arial" w:hAnsi="Arial" w:cs="Arial"/>
          <w:sz w:val="20"/>
        </w:rPr>
        <w:t xml:space="preserve">; this is referred to as the </w:t>
      </w:r>
      <w:r w:rsidRPr="00D30BC1">
        <w:rPr>
          <w:rFonts w:cs="Arial"/>
          <w:sz w:val="18"/>
        </w:rPr>
        <w:t>“</w:t>
      </w:r>
      <w:r w:rsidR="00B66E1B">
        <w:rPr>
          <w:rFonts w:ascii="Arial" w:hAnsi="Arial" w:cs="Arial"/>
          <w:sz w:val="20"/>
        </w:rPr>
        <w:t xml:space="preserve">storage formation </w:t>
      </w:r>
      <w:r w:rsidRPr="00D30BC1">
        <w:rPr>
          <w:rFonts w:ascii="Arial" w:hAnsi="Arial" w:cs="Arial"/>
          <w:sz w:val="20"/>
        </w:rPr>
        <w:t>level</w:t>
      </w:r>
      <w:r w:rsidRPr="00D30BC1">
        <w:rPr>
          <w:rFonts w:cs="Arial"/>
          <w:sz w:val="18"/>
        </w:rPr>
        <w:t>”</w:t>
      </w:r>
      <w:r w:rsidRPr="00D30BC1">
        <w:rPr>
          <w:rFonts w:ascii="Arial" w:hAnsi="Arial" w:cs="Arial"/>
          <w:sz w:val="20"/>
        </w:rPr>
        <w:t xml:space="preserve"> assessment.  These estimates are summed to arrive at estimates for fields, properties, and projects. Further summation is applied to yield totals for areas, countries, and companies; these are generally referred to as </w:t>
      </w:r>
      <w:r w:rsidRPr="00D30BC1">
        <w:rPr>
          <w:rFonts w:cs="Arial"/>
          <w:sz w:val="18"/>
        </w:rPr>
        <w:t>“</w:t>
      </w:r>
      <w:r w:rsidRPr="00D30BC1">
        <w:rPr>
          <w:rFonts w:ascii="Arial" w:hAnsi="Arial" w:cs="Arial"/>
          <w:sz w:val="20"/>
        </w:rPr>
        <w:t>resource reporting levels.</w:t>
      </w:r>
      <w:r w:rsidRPr="00D30BC1">
        <w:rPr>
          <w:rFonts w:cs="Arial"/>
          <w:sz w:val="18"/>
        </w:rPr>
        <w:t>”</w:t>
      </w:r>
      <w:r w:rsidRPr="00D30BC1">
        <w:rPr>
          <w:rFonts w:ascii="Arial" w:hAnsi="Arial" w:cs="Arial"/>
        </w:rPr>
        <w:t xml:space="preserve"> </w:t>
      </w:r>
      <w:r w:rsidRPr="00D30BC1">
        <w:rPr>
          <w:rFonts w:ascii="Arial" w:hAnsi="Arial" w:cs="Arial"/>
          <w:sz w:val="20"/>
        </w:rPr>
        <w:t xml:space="preserve">The uncertainty distribution of the individual estimates at each of these levels may differ widely, depending on the geological settings and the maturity of the resources. This </w:t>
      </w:r>
      <w:r w:rsidRPr="002A08AB">
        <w:rPr>
          <w:rFonts w:ascii="Arial" w:hAnsi="Arial" w:cs="Arial"/>
          <w:sz w:val="20"/>
        </w:rPr>
        <w:t xml:space="preserve">cumulative summation process is generally referred to as </w:t>
      </w:r>
      <w:r w:rsidRPr="002A08AB">
        <w:rPr>
          <w:rFonts w:cs="Arial"/>
          <w:sz w:val="18"/>
        </w:rPr>
        <w:t>“</w:t>
      </w:r>
      <w:r w:rsidRPr="002A08AB">
        <w:rPr>
          <w:rFonts w:ascii="Arial" w:hAnsi="Arial" w:cs="Arial"/>
          <w:sz w:val="20"/>
        </w:rPr>
        <w:t>aggregation.</w:t>
      </w:r>
      <w:r w:rsidRPr="002A08AB">
        <w:rPr>
          <w:rFonts w:cs="Arial"/>
          <w:sz w:val="18"/>
        </w:rPr>
        <w:t>”</w:t>
      </w:r>
    </w:p>
    <w:p w14:paraId="0246F620" w14:textId="77777777" w:rsidR="006B202E" w:rsidRPr="002A08AB" w:rsidRDefault="006B202E" w:rsidP="00D30BC1">
      <w:pPr>
        <w:jc w:val="both"/>
        <w:rPr>
          <w:rFonts w:ascii="Arial" w:hAnsi="Arial" w:cs="Arial"/>
          <w:sz w:val="20"/>
        </w:rPr>
      </w:pPr>
    </w:p>
    <w:p w14:paraId="775CE27E" w14:textId="77777777" w:rsidR="006B202E" w:rsidRPr="00D30BC1" w:rsidRDefault="006B202E" w:rsidP="00D30BC1">
      <w:pPr>
        <w:pStyle w:val="BodyText"/>
        <w:jc w:val="both"/>
      </w:pPr>
      <w:r w:rsidRPr="002A08AB">
        <w:t>Two general methods of aggregation may be applied: arithmetic summation of estimates by category and statistical aggregation of uncertainty distributions. There is typically significant divergence in results from applying these alternative methods. In statistical aggregation, except in</w:t>
      </w:r>
      <w:r w:rsidRPr="00D30BC1">
        <w:t xml:space="preserve"> the rare situation when all the </w:t>
      </w:r>
      <w:r w:rsidR="00B66E1B">
        <w:t>s</w:t>
      </w:r>
      <w:r w:rsidR="00BF5934">
        <w:t xml:space="preserve">torable quantities </w:t>
      </w:r>
      <w:r w:rsidRPr="00D30BC1">
        <w:t xml:space="preserve">being </w:t>
      </w:r>
      <w:r w:rsidRPr="002A08AB">
        <w:t>aggregated are totally dependent, the P90 (high degree of certainty) quantities from the aggregate</w:t>
      </w:r>
      <w:r w:rsidRPr="00D30BC1">
        <w:t xml:space="preserve"> are always greater than the arithmetic sum of the </w:t>
      </w:r>
      <w:r w:rsidR="00BF5934">
        <w:t xml:space="preserve">formation </w:t>
      </w:r>
      <w:r w:rsidRPr="00D30BC1">
        <w:t xml:space="preserve">level P90 quantities, and the P10 </w:t>
      </w:r>
      <w:r w:rsidRPr="002A08AB">
        <w:t>(low degree of certainty) of the aggregate is always less than the arithmetic sum P10 quantities</w:t>
      </w:r>
      <w:r w:rsidRPr="00D30BC1">
        <w:t xml:space="preserve"> assessed at the </w:t>
      </w:r>
      <w:r w:rsidR="00BF5934">
        <w:t>formation</w:t>
      </w:r>
      <w:r w:rsidRPr="00D30BC1">
        <w:t xml:space="preserve"> level. This </w:t>
      </w:r>
      <w:r w:rsidRPr="00D30BC1">
        <w:rPr>
          <w:rFonts w:ascii="Times New Roman" w:hAnsi="Times New Roman"/>
          <w:sz w:val="18"/>
        </w:rPr>
        <w:t>“</w:t>
      </w:r>
      <w:r w:rsidRPr="00D30BC1">
        <w:t>portfolio effect</w:t>
      </w:r>
      <w:r w:rsidRPr="00D30BC1">
        <w:rPr>
          <w:rFonts w:ascii="Times New Roman" w:hAnsi="Times New Roman"/>
          <w:sz w:val="18"/>
        </w:rPr>
        <w:t>”</w:t>
      </w:r>
      <w:r w:rsidRPr="00D30BC1">
        <w:t xml:space="preserve"> is the result of the central limit theorem in statistical analysis. Note that the mean (arithmetic average) of the sums is equal to the sum of the </w:t>
      </w:r>
      <w:r w:rsidRPr="002A08AB">
        <w:t>means; that is, there is no portfolio effect in aggregating mean values.</w:t>
      </w:r>
      <w:r w:rsidRPr="00D30BC1">
        <w:t xml:space="preserve"> </w:t>
      </w:r>
    </w:p>
    <w:p w14:paraId="4169F6CF" w14:textId="77777777" w:rsidR="006B202E" w:rsidRPr="00D30BC1" w:rsidRDefault="006B202E" w:rsidP="00D30BC1">
      <w:pPr>
        <w:rPr>
          <w:rFonts w:ascii="Arial" w:hAnsi="Arial" w:cs="Arial"/>
          <w:sz w:val="20"/>
        </w:rPr>
      </w:pPr>
    </w:p>
    <w:p w14:paraId="192E377F" w14:textId="77777777" w:rsidR="006B202E" w:rsidRPr="00D30BC1" w:rsidRDefault="006B202E" w:rsidP="00D30BC1">
      <w:pPr>
        <w:pStyle w:val="BodyText"/>
        <w:jc w:val="both"/>
      </w:pPr>
      <w:r w:rsidRPr="00D30BC1">
        <w:t>In practice, there is likely to be a large degree of</w:t>
      </w:r>
      <w:r>
        <w:t xml:space="preserve"> inter</w:t>
      </w:r>
      <w:r w:rsidRPr="00D30BC1">
        <w:t xml:space="preserve">dependence </w:t>
      </w:r>
      <w:r>
        <w:t>among</w:t>
      </w:r>
      <w:r w:rsidRPr="00D30BC1">
        <w:t xml:space="preserve"> </w:t>
      </w:r>
      <w:r w:rsidR="00BF5934">
        <w:t>storable quantities estimated for geologic formations</w:t>
      </w:r>
      <w:r w:rsidRPr="00D30BC1">
        <w:t xml:space="preserve"> in the same field, and such dependencies must be incorporated in the probabilistic calculation. When dependency is present and not accounted for, probabilistic aggregation will overestimate the low estimate result and underestimate the high estimate result. </w:t>
      </w:r>
      <w:r w:rsidRPr="00E81095">
        <w:rPr>
          <w:highlight w:val="red"/>
        </w:rPr>
        <w:t xml:space="preserve">(Aggregation of Reserves is discussed in Chapter 6 of the </w:t>
      </w:r>
      <w:r w:rsidRPr="00E81095">
        <w:rPr>
          <w:rFonts w:ascii="Times New Roman" w:hAnsi="Times New Roman"/>
          <w:sz w:val="18"/>
          <w:highlight w:val="red"/>
        </w:rPr>
        <w:t>“</w:t>
      </w:r>
      <w:r w:rsidRPr="00E81095">
        <w:rPr>
          <w:highlight w:val="red"/>
        </w:rPr>
        <w:t>2001 Supplemental Guidelines.</w:t>
      </w:r>
      <w:r w:rsidRPr="00E81095">
        <w:rPr>
          <w:rFonts w:ascii="Times New Roman" w:hAnsi="Times New Roman"/>
          <w:sz w:val="18"/>
          <w:highlight w:val="red"/>
        </w:rPr>
        <w:t>”</w:t>
      </w:r>
      <w:r w:rsidRPr="00E81095">
        <w:rPr>
          <w:highlight w:val="red"/>
        </w:rPr>
        <w:t>)</w:t>
      </w:r>
    </w:p>
    <w:p w14:paraId="1D13C3E1" w14:textId="77777777" w:rsidR="006B202E" w:rsidRPr="00D30BC1" w:rsidRDefault="006B202E" w:rsidP="00D30BC1">
      <w:pPr>
        <w:pStyle w:val="NormalWeb"/>
        <w:jc w:val="both"/>
        <w:rPr>
          <w:color w:val="auto"/>
        </w:rPr>
      </w:pPr>
      <w:r w:rsidRPr="00D30BC1">
        <w:rPr>
          <w:color w:val="auto"/>
        </w:rPr>
        <w:t>The aggregation methods u</w:t>
      </w:r>
      <w:r w:rsidR="00BF5934">
        <w:rPr>
          <w:color w:val="auto"/>
        </w:rPr>
        <w:t>se</w:t>
      </w:r>
      <w:r w:rsidRPr="00D30BC1">
        <w:rPr>
          <w:color w:val="auto"/>
        </w:rPr>
        <w:t xml:space="preserve">d depends on the business purpose. It is recommended that for reporting purposes, assessment results should not incorporate statistical aggregation beyond the field, property, or project level. Results reporting beyond this level should use arithmetic summation </w:t>
      </w:r>
      <w:r w:rsidRPr="006959E2">
        <w:rPr>
          <w:color w:val="auto"/>
        </w:rPr>
        <w:t>by category but should caution that the aggregate Proved may be a very conservative estimate and aggregate 3P may be very optimistic depending on the number of items in the aggregate. Aggregates of 2P results typically have less portfolio effect that may not be significant in mature</w:t>
      </w:r>
      <w:r w:rsidRPr="00D30BC1">
        <w:rPr>
          <w:color w:val="auto"/>
        </w:rPr>
        <w:t xml:space="preserve"> properties where the statistical median approaches the mean of the resulting distribution.</w:t>
      </w:r>
    </w:p>
    <w:p w14:paraId="1A4E3FD2" w14:textId="77777777" w:rsidR="006B202E" w:rsidRPr="00D30BC1" w:rsidRDefault="006B202E" w:rsidP="00D30BC1">
      <w:pPr>
        <w:jc w:val="both"/>
        <w:rPr>
          <w:rStyle w:val="header2green"/>
          <w:rFonts w:ascii="Arial" w:hAnsi="Arial" w:cs="Arial"/>
          <w:sz w:val="20"/>
        </w:rPr>
      </w:pPr>
      <w:r w:rsidRPr="00D30BC1">
        <w:rPr>
          <w:rFonts w:ascii="Arial" w:hAnsi="Arial" w:cs="Arial"/>
          <w:sz w:val="20"/>
        </w:rPr>
        <w:t xml:space="preserve">Various techniques are available to aggregate deterministic and/or probabilistic field, property, or project assessment results for detailed business unit or corporate portfolio analyses where the results incorporate the benefits of portfolio size and diversification. Again, aggregation should incorporate degree of dependency. Where the underlying analyses are available, comparison of arithmetic and statistical aggregation results may be valuable in assessing impact of the portfolio effect. </w:t>
      </w:r>
      <w:r w:rsidRPr="00D30BC1">
        <w:rPr>
          <w:rStyle w:val="header2green"/>
          <w:rFonts w:ascii="Arial" w:hAnsi="Arial" w:cs="Arial"/>
          <w:sz w:val="20"/>
        </w:rPr>
        <w:t>Whether deterministic or probabilistic methods are used, care should be taken to avoid systematic bias in the estimation process.</w:t>
      </w:r>
    </w:p>
    <w:p w14:paraId="46F30DCA" w14:textId="77777777" w:rsidR="006B202E" w:rsidRPr="00D30BC1" w:rsidRDefault="006B202E" w:rsidP="00D30BC1">
      <w:pPr>
        <w:jc w:val="both"/>
        <w:rPr>
          <w:rFonts w:ascii="Arial" w:hAnsi="Arial" w:cs="Arial"/>
          <w:sz w:val="20"/>
        </w:rPr>
      </w:pPr>
    </w:p>
    <w:p w14:paraId="7564E88E" w14:textId="77777777" w:rsidR="006B202E" w:rsidRPr="00D30BC1" w:rsidRDefault="006B202E" w:rsidP="00D30BC1">
      <w:pPr>
        <w:jc w:val="both"/>
        <w:rPr>
          <w:rStyle w:val="header2green"/>
          <w:rFonts w:ascii="Arial" w:hAnsi="Arial" w:cs="Arial"/>
          <w:sz w:val="20"/>
        </w:rPr>
      </w:pPr>
      <w:r w:rsidRPr="00D30BC1">
        <w:rPr>
          <w:rStyle w:val="header2green"/>
          <w:rFonts w:ascii="Arial" w:hAnsi="Arial" w:cs="Arial"/>
          <w:sz w:val="20"/>
        </w:rPr>
        <w:t xml:space="preserve">It is recognized that the monetary value associated with these </w:t>
      </w:r>
      <w:r w:rsidR="00B66E1B">
        <w:rPr>
          <w:rStyle w:val="header2green"/>
          <w:rFonts w:ascii="Arial" w:hAnsi="Arial" w:cs="Arial"/>
          <w:sz w:val="20"/>
        </w:rPr>
        <w:t xml:space="preserve">storable quantities </w:t>
      </w:r>
      <w:r w:rsidRPr="00D30BC1">
        <w:rPr>
          <w:rStyle w:val="header2green"/>
          <w:rFonts w:ascii="Arial" w:hAnsi="Arial" w:cs="Arial"/>
          <w:sz w:val="20"/>
        </w:rPr>
        <w:t xml:space="preserve">is dependent on the </w:t>
      </w:r>
      <w:r>
        <w:rPr>
          <w:rStyle w:val="header2green"/>
          <w:rFonts w:ascii="Arial" w:hAnsi="Arial" w:cs="Arial"/>
          <w:sz w:val="20"/>
        </w:rPr>
        <w:t>injection</w:t>
      </w:r>
      <w:r w:rsidRPr="00D30BC1">
        <w:rPr>
          <w:rStyle w:val="header2green"/>
          <w:rFonts w:ascii="Arial" w:hAnsi="Arial" w:cs="Arial"/>
          <w:sz w:val="20"/>
        </w:rPr>
        <w:t xml:space="preserve"> and cash flow schedules for each project; thus, aggregate distributions of </w:t>
      </w:r>
      <w:r>
        <w:rPr>
          <w:rStyle w:val="header2green"/>
          <w:rFonts w:ascii="Arial" w:hAnsi="Arial" w:cs="Arial"/>
          <w:sz w:val="20"/>
        </w:rPr>
        <w:t>storable</w:t>
      </w:r>
      <w:r w:rsidRPr="00D30BC1">
        <w:rPr>
          <w:rStyle w:val="header2green"/>
          <w:rFonts w:ascii="Arial" w:hAnsi="Arial" w:cs="Arial"/>
          <w:sz w:val="20"/>
        </w:rPr>
        <w:t xml:space="preserve"> quantities may not be a direct indication of corresponding uncertainty distributions of aggregate value.</w:t>
      </w:r>
    </w:p>
    <w:p w14:paraId="3B3A7830" w14:textId="77777777" w:rsidR="006B202E" w:rsidRPr="00D30BC1" w:rsidRDefault="006B202E" w:rsidP="00D30BC1">
      <w:pPr>
        <w:pStyle w:val="CommentText"/>
        <w:rPr>
          <w:rStyle w:val="header2green"/>
          <w:rFonts w:ascii="Arial" w:hAnsi="Arial" w:cs="Arial"/>
          <w:szCs w:val="24"/>
        </w:rPr>
      </w:pPr>
    </w:p>
    <w:p w14:paraId="4D2192CB" w14:textId="77777777" w:rsidR="006B202E" w:rsidRPr="00D30BC1" w:rsidRDefault="006B202E" w:rsidP="00D30BC1">
      <w:pPr>
        <w:ind w:firstLine="720"/>
        <w:rPr>
          <w:rFonts w:ascii="Arial" w:hAnsi="Arial" w:cs="Arial"/>
          <w:b/>
          <w:bCs/>
          <w:sz w:val="20"/>
          <w:u w:val="single"/>
        </w:rPr>
      </w:pPr>
      <w:r w:rsidRPr="00D30BC1">
        <w:rPr>
          <w:rFonts w:ascii="Arial" w:hAnsi="Arial" w:cs="Arial"/>
          <w:b/>
          <w:bCs/>
          <w:sz w:val="20"/>
        </w:rPr>
        <w:t xml:space="preserve">4.2.1.1 </w:t>
      </w:r>
      <w:r w:rsidRPr="00D30BC1">
        <w:rPr>
          <w:rFonts w:ascii="Arial" w:hAnsi="Arial" w:cs="Arial"/>
          <w:b/>
          <w:bCs/>
          <w:sz w:val="20"/>
          <w:u w:val="single"/>
        </w:rPr>
        <w:t>Aggregating Resources Classes</w:t>
      </w:r>
    </w:p>
    <w:p w14:paraId="2B3F2AAD" w14:textId="77777777" w:rsidR="006B202E" w:rsidRPr="00D30BC1" w:rsidRDefault="00855CC0" w:rsidP="00D30BC1">
      <w:pPr>
        <w:pStyle w:val="NormalWeb"/>
        <w:jc w:val="both"/>
        <w:rPr>
          <w:color w:val="auto"/>
        </w:rPr>
      </w:pPr>
      <w:r>
        <w:rPr>
          <w:color w:val="auto"/>
        </w:rPr>
        <w:t>S</w:t>
      </w:r>
      <w:r w:rsidR="006B202E" w:rsidRPr="002A08AB">
        <w:rPr>
          <w:color w:val="auto"/>
        </w:rPr>
        <w:t xml:space="preserve">torage quantities classified as </w:t>
      </w:r>
      <w:r w:rsidR="002A08AB" w:rsidRPr="002A08AB">
        <w:rPr>
          <w:color w:val="auto"/>
        </w:rPr>
        <w:t>Capacity</w:t>
      </w:r>
      <w:r w:rsidR="006B202E" w:rsidRPr="002A08AB">
        <w:rPr>
          <w:color w:val="auto"/>
        </w:rPr>
        <w:t>, Contingent Resources, or Prospective Resources should not be aggregated with each other without due consideration of the significant differences in the criteria associated with their classification. In particular, there may be a significant risk that accumulations containing Contingent Resources and/ or Prospective Resources will not achieve</w:t>
      </w:r>
      <w:r w:rsidR="006B202E" w:rsidRPr="00D30BC1">
        <w:rPr>
          <w:color w:val="auto"/>
        </w:rPr>
        <w:t xml:space="preserve"> commercial </w:t>
      </w:r>
      <w:r w:rsidR="006B202E">
        <w:rPr>
          <w:color w:val="auto"/>
        </w:rPr>
        <w:t>storage</w:t>
      </w:r>
      <w:r w:rsidR="006B202E" w:rsidRPr="00D30BC1">
        <w:rPr>
          <w:color w:val="auto"/>
        </w:rPr>
        <w:t>.</w:t>
      </w:r>
    </w:p>
    <w:p w14:paraId="3154F761" w14:textId="77777777" w:rsidR="006B202E" w:rsidRPr="00D30BC1" w:rsidRDefault="006B202E" w:rsidP="00D30BC1">
      <w:pPr>
        <w:pStyle w:val="NormalWeb"/>
        <w:jc w:val="both"/>
        <w:rPr>
          <w:strike/>
          <w:color w:val="auto"/>
        </w:rPr>
      </w:pPr>
      <w:r w:rsidRPr="00D30BC1">
        <w:rPr>
          <w:color w:val="auto"/>
        </w:rPr>
        <w:t xml:space="preserve">Where the associated discovery and commerciality risks have been quantitatively defined, statistical techniques may be applied to incorporate individual project risk estimates in portfolio analysis of volume and value. </w:t>
      </w:r>
    </w:p>
    <w:p w14:paraId="23A3177C" w14:textId="77777777" w:rsidR="00093162" w:rsidRDefault="00093162"/>
    <w:p w14:paraId="42C8C251" w14:textId="77777777" w:rsidR="00BF5934" w:rsidRPr="00BF5934" w:rsidRDefault="00BF5934">
      <w:pPr>
        <w:rPr>
          <w:b/>
          <w:u w:val="single"/>
        </w:rPr>
      </w:pPr>
      <w:r w:rsidRPr="00BF5934">
        <w:rPr>
          <w:b/>
          <w:u w:val="single"/>
        </w:rPr>
        <w:t>New Definitions to be included in the Glossary:</w:t>
      </w:r>
    </w:p>
    <w:p w14:paraId="2AD38833" w14:textId="77777777" w:rsidR="00F759C2" w:rsidRDefault="00F759C2">
      <w:r>
        <w:t xml:space="preserve">Stored quantities: part of estimated Capacity </w:t>
      </w:r>
      <w:r w:rsidR="00192746">
        <w:t xml:space="preserve">for a geologic formation </w:t>
      </w:r>
      <w:r>
        <w:t>that has injected CO2 occupying pore volume; can be reported as mass or volume.</w:t>
      </w:r>
    </w:p>
    <w:p w14:paraId="101CE027" w14:textId="77777777" w:rsidR="00F759C2" w:rsidRDefault="00F759C2"/>
    <w:p w14:paraId="3ECFE08E" w14:textId="77777777" w:rsidR="00F759C2" w:rsidRDefault="00F759C2">
      <w:r>
        <w:t xml:space="preserve">Storable quantities: part of </w:t>
      </w:r>
      <w:r w:rsidR="00192746">
        <w:t xml:space="preserve">an </w:t>
      </w:r>
      <w:r>
        <w:t xml:space="preserve">estimated pore volume </w:t>
      </w:r>
      <w:r w:rsidR="00192746">
        <w:t xml:space="preserve">of a geologic formation that is </w:t>
      </w:r>
      <w:r>
        <w:t xml:space="preserve">accessible to CO2 via a CO2 injection well </w:t>
      </w:r>
      <w:r w:rsidR="000762FD">
        <w:t xml:space="preserve">(i.e. a storage project) </w:t>
      </w:r>
      <w:r>
        <w:t>sometime in the future; can be reported as mass or volume.</w:t>
      </w:r>
      <w:r w:rsidR="009B02A5">
        <w:t xml:space="preserve">  To be considered a storable quantity, an assessment of the longevity of the stored CO2 is required; i.e. a seal within a structure or regional dip will be part of analyses.  </w:t>
      </w:r>
    </w:p>
    <w:p w14:paraId="47E67DC1" w14:textId="77777777" w:rsidR="00192746" w:rsidRDefault="00192746"/>
    <w:p w14:paraId="70732A9B" w14:textId="77777777" w:rsidR="00855CC0" w:rsidRDefault="00FB4B62">
      <w:r>
        <w:t xml:space="preserve">CO2 stream: </w:t>
      </w:r>
      <w:r w:rsidR="00BF5934">
        <w:t>Fluid injected that is predominantly CO2</w:t>
      </w:r>
    </w:p>
    <w:p w14:paraId="0D365FD1" w14:textId="77777777" w:rsidR="00855CC0" w:rsidRDefault="00855CC0">
      <w:r>
        <w:t>Operator:  entity that has ownership and responsibility of the storage site and project</w:t>
      </w:r>
    </w:p>
    <w:p w14:paraId="7A0690CA" w14:textId="77777777" w:rsidR="000762FD" w:rsidRDefault="000762FD"/>
    <w:p w14:paraId="68ED9A9A" w14:textId="77777777" w:rsidR="000762FD" w:rsidRDefault="000762FD">
      <w:r>
        <w:t xml:space="preserve">Project: CO2 storage project.  </w:t>
      </w:r>
    </w:p>
    <w:p w14:paraId="7E5104A5" w14:textId="77777777" w:rsidR="00E70A9E" w:rsidRDefault="00E70A9E"/>
    <w:p w14:paraId="052C3411" w14:textId="77777777" w:rsidR="00E70A9E" w:rsidRDefault="00E70A9E">
      <w:r>
        <w:t>CO2 generator:  Source of CO2; typically anthropogenic, industrial sites such as a coal fired power plant, cement plant, ethanol plant, and natural gas processing.</w:t>
      </w:r>
    </w:p>
    <w:p w14:paraId="0BD6290D" w14:textId="77777777" w:rsidR="00CC0F5F" w:rsidRDefault="00CC0F5F"/>
    <w:p w14:paraId="31F18608" w14:textId="77777777" w:rsidR="000A72D0" w:rsidRDefault="009B02A5">
      <w:r>
        <w:t xml:space="preserve">Storage </w:t>
      </w:r>
      <w:r w:rsidR="00CC0F5F">
        <w:t>Formation</w:t>
      </w:r>
      <w:r>
        <w:t xml:space="preserve"> (or Formation)</w:t>
      </w:r>
      <w:r w:rsidR="00CC0F5F">
        <w:t xml:space="preserve">: geologic interval in which storage quantities are identified.  </w:t>
      </w:r>
    </w:p>
    <w:p w14:paraId="19AF9E20" w14:textId="29C41195" w:rsidR="001C1732" w:rsidRPr="00D30BC1" w:rsidRDefault="00BF46B4" w:rsidP="00D30BC1">
      <w:pPr>
        <w:pStyle w:val="Title"/>
        <w:ind w:right="-482"/>
        <w:rPr>
          <w:sz w:val="28"/>
          <w:szCs w:val="22"/>
        </w:rPr>
      </w:pPr>
      <w:r w:rsidRPr="00D30BC1">
        <w:rPr>
          <w:lang w:val="en-CA"/>
        </w:rPr>
        <w:br w:type="page"/>
      </w:r>
      <w:r w:rsidR="001C1732" w:rsidRPr="00D30BC1">
        <w:rPr>
          <w:sz w:val="28"/>
          <w:szCs w:val="22"/>
        </w:rPr>
        <w:t xml:space="preserve">Table 1: </w:t>
      </w:r>
      <w:r w:rsidR="001C1732">
        <w:rPr>
          <w:sz w:val="28"/>
          <w:szCs w:val="22"/>
        </w:rPr>
        <w:t>Stora</w:t>
      </w:r>
      <w:r w:rsidR="00D335D3">
        <w:rPr>
          <w:sz w:val="28"/>
          <w:szCs w:val="22"/>
        </w:rPr>
        <w:t>ge</w:t>
      </w:r>
      <w:r w:rsidR="001C1732" w:rsidRPr="00D30BC1">
        <w:rPr>
          <w:sz w:val="28"/>
          <w:szCs w:val="22"/>
        </w:rPr>
        <w:t xml:space="preserve"> Resources Classes and Sub-Classes </w:t>
      </w:r>
    </w:p>
    <w:p w14:paraId="0151F477" w14:textId="77777777" w:rsidR="001C1732" w:rsidRPr="00D30BC1" w:rsidRDefault="001C1732" w:rsidP="00D30BC1">
      <w:pPr>
        <w:pStyle w:val="Title"/>
        <w:ind w:left="720" w:right="-482" w:firstLine="720"/>
        <w:jc w:val="left"/>
        <w:rPr>
          <w:sz w:val="24"/>
          <w:lang w:val="en-CA"/>
        </w:rPr>
      </w:pPr>
      <w:r w:rsidRPr="00D30BC1">
        <w:rPr>
          <w:sz w:val="28"/>
          <w:szCs w:val="22"/>
        </w:rPr>
        <w:t xml:space="preserve">   </w:t>
      </w:r>
      <w:r w:rsidRPr="00D30BC1">
        <w:rPr>
          <w:sz w:val="28"/>
          <w:szCs w:val="22"/>
        </w:rPr>
        <w:tab/>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2700"/>
        <w:gridCol w:w="5580"/>
      </w:tblGrid>
      <w:tr w:rsidR="001C1732" w:rsidRPr="00D30BC1" w14:paraId="182211C9" w14:textId="77777777" w:rsidTr="001642F3">
        <w:tc>
          <w:tcPr>
            <w:tcW w:w="1800" w:type="dxa"/>
          </w:tcPr>
          <w:p w14:paraId="401C2D9B" w14:textId="77777777" w:rsidR="001C1732" w:rsidRPr="00D30BC1" w:rsidRDefault="001C1732" w:rsidP="001642F3">
            <w:pPr>
              <w:pStyle w:val="Subtitle"/>
              <w:rPr>
                <w:b w:val="0"/>
                <w:bCs/>
              </w:rPr>
            </w:pPr>
            <w:r w:rsidRPr="00D30BC1">
              <w:t>Class</w:t>
            </w:r>
            <w:r w:rsidRPr="00D30BC1">
              <w:rPr>
                <w:b w:val="0"/>
                <w:bCs/>
              </w:rPr>
              <w:t>/</w:t>
            </w:r>
            <w:r w:rsidRPr="00D30BC1">
              <w:rPr>
                <w:b w:val="0"/>
                <w:bCs/>
                <w:sz w:val="18"/>
              </w:rPr>
              <w:t>Sub-Class</w:t>
            </w:r>
          </w:p>
        </w:tc>
        <w:tc>
          <w:tcPr>
            <w:tcW w:w="2700" w:type="dxa"/>
          </w:tcPr>
          <w:p w14:paraId="140E6BE1" w14:textId="77777777" w:rsidR="001C1732" w:rsidRPr="00D30BC1" w:rsidRDefault="001C1732" w:rsidP="001642F3">
            <w:pPr>
              <w:spacing w:before="60" w:after="60"/>
              <w:jc w:val="center"/>
              <w:rPr>
                <w:rFonts w:ascii="Arial" w:hAnsi="Arial" w:cs="Arial"/>
                <w:b/>
                <w:sz w:val="20"/>
                <w:szCs w:val="18"/>
              </w:rPr>
            </w:pPr>
            <w:r w:rsidRPr="00D30BC1">
              <w:rPr>
                <w:rFonts w:ascii="Arial" w:hAnsi="Arial" w:cs="Arial"/>
                <w:b/>
                <w:sz w:val="20"/>
                <w:szCs w:val="18"/>
              </w:rPr>
              <w:t>Definition</w:t>
            </w:r>
          </w:p>
        </w:tc>
        <w:tc>
          <w:tcPr>
            <w:tcW w:w="5580" w:type="dxa"/>
            <w:vAlign w:val="center"/>
          </w:tcPr>
          <w:p w14:paraId="084D4A25" w14:textId="77777777" w:rsidR="001C1732" w:rsidRPr="00D30BC1" w:rsidRDefault="001C1732" w:rsidP="001642F3">
            <w:pPr>
              <w:pStyle w:val="Heading9"/>
              <w:rPr>
                <w:bCs w:val="0"/>
              </w:rPr>
            </w:pPr>
            <w:r w:rsidRPr="00D30BC1">
              <w:rPr>
                <w:bCs w:val="0"/>
              </w:rPr>
              <w:t>Guidelines</w:t>
            </w:r>
          </w:p>
        </w:tc>
      </w:tr>
      <w:tr w:rsidR="001C1732" w:rsidRPr="00D30BC1" w14:paraId="4B5A19DA" w14:textId="77777777" w:rsidTr="001642F3">
        <w:tc>
          <w:tcPr>
            <w:tcW w:w="1800" w:type="dxa"/>
          </w:tcPr>
          <w:p w14:paraId="6E11032A" w14:textId="77777777" w:rsidR="001C1732" w:rsidRPr="00D30BC1" w:rsidRDefault="001C1732" w:rsidP="001642F3">
            <w:pPr>
              <w:pStyle w:val="Subtitle"/>
              <w:jc w:val="both"/>
              <w:rPr>
                <w:sz w:val="22"/>
              </w:rPr>
            </w:pPr>
            <w:r>
              <w:rPr>
                <w:sz w:val="22"/>
              </w:rPr>
              <w:t>Capacity</w:t>
            </w:r>
          </w:p>
        </w:tc>
        <w:tc>
          <w:tcPr>
            <w:tcW w:w="2700" w:type="dxa"/>
          </w:tcPr>
          <w:p w14:paraId="1DB35679" w14:textId="77777777" w:rsidR="001C1732" w:rsidRPr="00D30BC1" w:rsidRDefault="001C1732" w:rsidP="00227132">
            <w:pPr>
              <w:spacing w:before="60" w:after="60"/>
              <w:rPr>
                <w:rFonts w:ascii="Arial" w:eastAsia="Arial Unicode MS" w:hAnsi="Arial" w:cs="Arial"/>
                <w:sz w:val="18"/>
                <w:szCs w:val="18"/>
              </w:rPr>
            </w:pPr>
            <w:r>
              <w:rPr>
                <w:rFonts w:ascii="Arial" w:hAnsi="Arial" w:cs="Arial"/>
                <w:bCs/>
                <w:sz w:val="18"/>
                <w:szCs w:val="18"/>
              </w:rPr>
              <w:t>Capacity</w:t>
            </w:r>
            <w:r w:rsidRPr="00D30BC1">
              <w:rPr>
                <w:rFonts w:ascii="Arial" w:hAnsi="Arial" w:cs="Arial"/>
                <w:bCs/>
                <w:sz w:val="18"/>
                <w:szCs w:val="18"/>
              </w:rPr>
              <w:t xml:space="preserve"> </w:t>
            </w:r>
            <w:r w:rsidR="00227132">
              <w:rPr>
                <w:rFonts w:ascii="Arial" w:hAnsi="Arial" w:cs="Arial"/>
                <w:bCs/>
                <w:sz w:val="18"/>
                <w:szCs w:val="18"/>
              </w:rPr>
              <w:t>is</w:t>
            </w:r>
            <w:r w:rsidRPr="00D30BC1">
              <w:rPr>
                <w:rFonts w:ascii="Arial" w:hAnsi="Arial" w:cs="Arial"/>
                <w:bCs/>
                <w:sz w:val="18"/>
                <w:szCs w:val="18"/>
              </w:rPr>
              <w:t xml:space="preserve"> th</w:t>
            </w:r>
            <w:r w:rsidR="00227132">
              <w:rPr>
                <w:rFonts w:ascii="Arial" w:hAnsi="Arial" w:cs="Arial"/>
                <w:bCs/>
                <w:sz w:val="18"/>
                <w:szCs w:val="18"/>
              </w:rPr>
              <w:t>e</w:t>
            </w:r>
            <w:r w:rsidRPr="00D30BC1">
              <w:rPr>
                <w:rFonts w:ascii="Arial" w:hAnsi="Arial" w:cs="Arial"/>
                <w:bCs/>
                <w:sz w:val="18"/>
                <w:szCs w:val="18"/>
              </w:rPr>
              <w:t xml:space="preserve"> quantit</w:t>
            </w:r>
            <w:r w:rsidR="00227132">
              <w:rPr>
                <w:rFonts w:ascii="Arial" w:hAnsi="Arial" w:cs="Arial"/>
                <w:bCs/>
                <w:sz w:val="18"/>
                <w:szCs w:val="18"/>
              </w:rPr>
              <w:t>y</w:t>
            </w:r>
            <w:r w:rsidRPr="00D30BC1">
              <w:rPr>
                <w:rFonts w:ascii="Arial" w:hAnsi="Arial" w:cs="Arial"/>
                <w:bCs/>
                <w:sz w:val="18"/>
                <w:szCs w:val="18"/>
              </w:rPr>
              <w:t xml:space="preserve"> of </w:t>
            </w:r>
            <w:r>
              <w:rPr>
                <w:rFonts w:ascii="Arial" w:hAnsi="Arial" w:cs="Arial"/>
                <w:bCs/>
                <w:sz w:val="18"/>
                <w:szCs w:val="18"/>
              </w:rPr>
              <w:t xml:space="preserve">pore volume </w:t>
            </w:r>
            <w:r w:rsidRPr="00D30BC1">
              <w:rPr>
                <w:rFonts w:ascii="Arial" w:hAnsi="Arial" w:cs="Arial"/>
                <w:bCs/>
                <w:sz w:val="18"/>
                <w:szCs w:val="18"/>
              </w:rPr>
              <w:t xml:space="preserve">anticipated to be commercially </w:t>
            </w:r>
            <w:r>
              <w:rPr>
                <w:rFonts w:ascii="Arial" w:hAnsi="Arial" w:cs="Arial"/>
                <w:bCs/>
                <w:sz w:val="18"/>
                <w:szCs w:val="18"/>
              </w:rPr>
              <w:t xml:space="preserve">accessible </w:t>
            </w:r>
            <w:r w:rsidRPr="00D30BC1">
              <w:rPr>
                <w:rFonts w:ascii="Arial" w:hAnsi="Arial" w:cs="Arial"/>
                <w:bCs/>
                <w:sz w:val="18"/>
                <w:szCs w:val="18"/>
              </w:rPr>
              <w:t xml:space="preserve">by application of development projects to known </w:t>
            </w:r>
            <w:r>
              <w:rPr>
                <w:rFonts w:ascii="Arial" w:hAnsi="Arial" w:cs="Arial"/>
                <w:bCs/>
                <w:sz w:val="18"/>
                <w:szCs w:val="18"/>
              </w:rPr>
              <w:t>geologic formations</w:t>
            </w:r>
            <w:r w:rsidRPr="00D30BC1">
              <w:rPr>
                <w:rFonts w:ascii="Arial" w:hAnsi="Arial" w:cs="Arial"/>
                <w:bCs/>
                <w:sz w:val="18"/>
                <w:szCs w:val="18"/>
              </w:rPr>
              <w:t xml:space="preserve"> from a given date forward under defined conditions</w:t>
            </w:r>
            <w:r w:rsidR="00227132">
              <w:rPr>
                <w:rFonts w:ascii="Arial" w:hAnsi="Arial" w:cs="Arial"/>
                <w:sz w:val="18"/>
                <w:szCs w:val="18"/>
              </w:rPr>
              <w:t>.</w:t>
            </w:r>
          </w:p>
        </w:tc>
        <w:tc>
          <w:tcPr>
            <w:tcW w:w="5580" w:type="dxa"/>
          </w:tcPr>
          <w:p w14:paraId="04092F4F" w14:textId="2ACCEE61" w:rsidR="001C1732" w:rsidRPr="002A7155" w:rsidRDefault="001C1732" w:rsidP="002A7155">
            <w:r>
              <w:rPr>
                <w:rFonts w:ascii="Arial" w:hAnsi="Arial" w:cs="Arial"/>
                <w:sz w:val="18"/>
                <w:szCs w:val="18"/>
              </w:rPr>
              <w:t>Capacity</w:t>
            </w:r>
            <w:r w:rsidRPr="00D30BC1">
              <w:rPr>
                <w:rFonts w:ascii="Arial" w:hAnsi="Arial" w:cs="Arial"/>
                <w:sz w:val="18"/>
                <w:szCs w:val="18"/>
              </w:rPr>
              <w:t xml:space="preserve"> must satisfy four criteria: </w:t>
            </w:r>
            <w:r w:rsidR="00227132">
              <w:rPr>
                <w:rFonts w:ascii="Arial" w:hAnsi="Arial" w:cs="Arial"/>
                <w:sz w:val="18"/>
                <w:szCs w:val="18"/>
              </w:rPr>
              <w:t>it</w:t>
            </w:r>
            <w:r w:rsidRPr="0085083D">
              <w:rPr>
                <w:rFonts w:ascii="Arial" w:hAnsi="Arial" w:cs="Arial"/>
                <w:sz w:val="18"/>
                <w:szCs w:val="18"/>
              </w:rPr>
              <w:t xml:space="preserve"> must be discovered, </w:t>
            </w:r>
            <w:r w:rsidRPr="00D30BC1">
              <w:rPr>
                <w:rFonts w:ascii="Arial" w:hAnsi="Arial" w:cs="Arial"/>
                <w:sz w:val="18"/>
                <w:szCs w:val="18"/>
              </w:rPr>
              <w:t>commercial</w:t>
            </w:r>
            <w:r w:rsidRPr="0085083D">
              <w:rPr>
                <w:rFonts w:ascii="Arial" w:hAnsi="Arial" w:cs="Arial"/>
                <w:sz w:val="18"/>
                <w:szCs w:val="18"/>
              </w:rPr>
              <w:t xml:space="preserve">, injectable and </w:t>
            </w:r>
            <w:r w:rsidR="00227132">
              <w:rPr>
                <w:rFonts w:ascii="Arial" w:hAnsi="Arial" w:cs="Arial"/>
                <w:sz w:val="18"/>
                <w:szCs w:val="18"/>
              </w:rPr>
              <w:t>have containment</w:t>
            </w:r>
            <w:r>
              <w:rPr>
                <w:rFonts w:ascii="Arial" w:hAnsi="Arial" w:cs="Arial"/>
                <w:sz w:val="18"/>
                <w:szCs w:val="18"/>
              </w:rPr>
              <w:t xml:space="preserve"> </w:t>
            </w:r>
            <w:r w:rsidRPr="00D30BC1">
              <w:rPr>
                <w:rFonts w:ascii="Arial" w:hAnsi="Arial" w:cs="Arial"/>
                <w:sz w:val="18"/>
                <w:szCs w:val="18"/>
              </w:rPr>
              <w:t xml:space="preserve">based on the development project(s) applied. </w:t>
            </w:r>
            <w:r w:rsidR="001E0235">
              <w:rPr>
                <w:rFonts w:ascii="Arial" w:hAnsi="Arial" w:cs="Arial"/>
                <w:sz w:val="18"/>
                <w:szCs w:val="18"/>
              </w:rPr>
              <w:t>Capacity is</w:t>
            </w:r>
            <w:r w:rsidRPr="00D30BC1">
              <w:rPr>
                <w:rFonts w:ascii="Arial" w:hAnsi="Arial" w:cs="Arial"/>
                <w:sz w:val="18"/>
                <w:szCs w:val="18"/>
              </w:rPr>
              <w:t xml:space="preserve"> further subdivided in accordance with the level of certainty associated with the estimates and may be sub-classified based on project maturity and/or characterized by their development and </w:t>
            </w:r>
            <w:r>
              <w:rPr>
                <w:rFonts w:ascii="Arial" w:hAnsi="Arial" w:cs="Arial"/>
                <w:sz w:val="18"/>
                <w:szCs w:val="18"/>
              </w:rPr>
              <w:t>injection</w:t>
            </w:r>
            <w:r w:rsidRPr="00D30BC1">
              <w:rPr>
                <w:rFonts w:ascii="Arial" w:hAnsi="Arial" w:cs="Arial"/>
                <w:sz w:val="18"/>
                <w:szCs w:val="18"/>
              </w:rPr>
              <w:t xml:space="preserve"> status.</w:t>
            </w:r>
          </w:p>
          <w:p w14:paraId="6F68AAE2" w14:textId="77777777" w:rsidR="001C1732" w:rsidRPr="00D30BC1" w:rsidRDefault="001C1732" w:rsidP="001642F3">
            <w:pPr>
              <w:spacing w:before="60" w:after="60"/>
              <w:jc w:val="both"/>
              <w:rPr>
                <w:rFonts w:ascii="Arial" w:eastAsia="Arial Unicode MS" w:hAnsi="Arial" w:cs="Arial"/>
                <w:iCs/>
                <w:sz w:val="18"/>
              </w:rPr>
            </w:pPr>
            <w:r w:rsidRPr="00D30BC1">
              <w:rPr>
                <w:rFonts w:ascii="Arial" w:eastAsia="Arial Unicode MS" w:hAnsi="Arial" w:cs="Arial"/>
                <w:iCs/>
                <w:sz w:val="18"/>
              </w:rPr>
              <w:t xml:space="preserve">To be included in the </w:t>
            </w:r>
            <w:r>
              <w:rPr>
                <w:rFonts w:ascii="Arial" w:hAnsi="Arial" w:cs="Arial"/>
                <w:sz w:val="18"/>
                <w:szCs w:val="18"/>
              </w:rPr>
              <w:t>Capacity</w:t>
            </w:r>
            <w:r w:rsidRPr="00D30BC1">
              <w:rPr>
                <w:rFonts w:ascii="Arial" w:hAnsi="Arial" w:cs="Arial"/>
                <w:sz w:val="18"/>
                <w:szCs w:val="18"/>
              </w:rPr>
              <w:t xml:space="preserve"> </w:t>
            </w:r>
            <w:r w:rsidRPr="00D30BC1">
              <w:rPr>
                <w:rFonts w:ascii="Arial" w:eastAsia="Arial Unicode MS" w:hAnsi="Arial" w:cs="Arial"/>
                <w:iCs/>
                <w:sz w:val="18"/>
              </w:rPr>
              <w:t xml:space="preserve">class, a project must be sufficiently defined to establish its commercial viability. There must be a reasonable expectation that all required internal and external approvals will be forthcoming, and there is evidence of firm intention to proceed with development within a reasonable time frame. </w:t>
            </w:r>
          </w:p>
          <w:p w14:paraId="1D70A15B" w14:textId="1F137FF0" w:rsidR="001C1732" w:rsidRPr="00D30BC1" w:rsidRDefault="001C1732" w:rsidP="001642F3">
            <w:pPr>
              <w:spacing w:before="60" w:after="60"/>
              <w:jc w:val="both"/>
              <w:rPr>
                <w:rFonts w:ascii="Arial" w:hAnsi="Arial" w:cs="Arial"/>
                <w:sz w:val="18"/>
              </w:rPr>
            </w:pPr>
            <w:r w:rsidRPr="00D30BC1">
              <w:rPr>
                <w:rFonts w:ascii="Arial" w:eastAsia="Arial Unicode MS" w:hAnsi="Arial" w:cs="Arial"/>
                <w:iCs/>
                <w:sz w:val="18"/>
              </w:rPr>
              <w:t xml:space="preserve">A reasonable time frame for the initiation of development depends on the specific circumstances and varies according to the scope of the project. While </w:t>
            </w:r>
            <w:r w:rsidR="00B20C76">
              <w:rPr>
                <w:rFonts w:ascii="Arial" w:eastAsia="Arial Unicode MS" w:hAnsi="Arial" w:cs="Arial"/>
                <w:iCs/>
                <w:sz w:val="18"/>
              </w:rPr>
              <w:t>five</w:t>
            </w:r>
            <w:r w:rsidR="00D67BF1">
              <w:rPr>
                <w:rFonts w:ascii="Arial" w:eastAsia="Arial Unicode MS" w:hAnsi="Arial" w:cs="Arial"/>
                <w:iCs/>
                <w:sz w:val="18"/>
              </w:rPr>
              <w:t xml:space="preserve"> (5)</w:t>
            </w:r>
            <w:r w:rsidR="00B20C76" w:rsidRPr="00D30BC1">
              <w:rPr>
                <w:rFonts w:ascii="Arial" w:eastAsia="Arial Unicode MS" w:hAnsi="Arial" w:cs="Arial"/>
                <w:iCs/>
                <w:sz w:val="18"/>
              </w:rPr>
              <w:t xml:space="preserve"> </w:t>
            </w:r>
            <w:r w:rsidRPr="00D30BC1">
              <w:rPr>
                <w:rFonts w:ascii="Arial" w:eastAsia="Arial Unicode MS" w:hAnsi="Arial" w:cs="Arial"/>
                <w:iCs/>
                <w:sz w:val="18"/>
              </w:rPr>
              <w:t xml:space="preserve">years is recommended as a benchmark, </w:t>
            </w:r>
            <w:r w:rsidRPr="00D30BC1">
              <w:rPr>
                <w:rFonts w:ascii="Arial" w:hAnsi="Arial" w:cs="Arial"/>
                <w:sz w:val="18"/>
              </w:rPr>
              <w:t xml:space="preserve">a longer time frame could be applied where, for example, development of economic projects are deferred at the option of the </w:t>
            </w:r>
            <w:r>
              <w:rPr>
                <w:rFonts w:ascii="Arial" w:hAnsi="Arial" w:cs="Arial"/>
                <w:sz w:val="18"/>
              </w:rPr>
              <w:t>storage site operator</w:t>
            </w:r>
            <w:r w:rsidRPr="00D30BC1">
              <w:rPr>
                <w:rFonts w:ascii="Arial" w:hAnsi="Arial" w:cs="Arial"/>
                <w:sz w:val="18"/>
              </w:rPr>
              <w:t xml:space="preserve"> </w:t>
            </w:r>
            <w:r w:rsidRPr="00D30BC1">
              <w:rPr>
                <w:rFonts w:ascii="Arial" w:hAnsi="Arial" w:cs="Arial"/>
                <w:bCs/>
                <w:sz w:val="18"/>
              </w:rPr>
              <w:t xml:space="preserve">for, among other things, market-related reasons, or </w:t>
            </w:r>
            <w:r w:rsidRPr="00D30BC1">
              <w:rPr>
                <w:rFonts w:ascii="Arial" w:hAnsi="Arial" w:cs="Arial"/>
                <w:sz w:val="18"/>
              </w:rPr>
              <w:t xml:space="preserve">to meet contractual or strategic objectives. In all cases, the justification for classification as </w:t>
            </w:r>
            <w:r>
              <w:rPr>
                <w:rFonts w:ascii="Arial" w:hAnsi="Arial" w:cs="Arial"/>
                <w:sz w:val="18"/>
                <w:szCs w:val="18"/>
              </w:rPr>
              <w:t>Capacity</w:t>
            </w:r>
            <w:r w:rsidRPr="00D30BC1">
              <w:rPr>
                <w:rFonts w:ascii="Arial" w:hAnsi="Arial" w:cs="Arial"/>
                <w:sz w:val="18"/>
                <w:szCs w:val="18"/>
              </w:rPr>
              <w:t xml:space="preserve"> </w:t>
            </w:r>
            <w:r w:rsidRPr="00D30BC1">
              <w:rPr>
                <w:rFonts w:ascii="Arial" w:hAnsi="Arial" w:cs="Arial"/>
                <w:sz w:val="18"/>
              </w:rPr>
              <w:t xml:space="preserve">should be clearly documented. </w:t>
            </w:r>
          </w:p>
          <w:p w14:paraId="04EAE047" w14:textId="77777777" w:rsidR="001C1732" w:rsidRPr="00D30BC1" w:rsidRDefault="001C1732" w:rsidP="001642F3">
            <w:pPr>
              <w:spacing w:before="60" w:after="60"/>
              <w:jc w:val="both"/>
              <w:rPr>
                <w:rFonts w:ascii="Arial" w:hAnsi="Arial" w:cs="Arial"/>
                <w:sz w:val="18"/>
              </w:rPr>
            </w:pPr>
            <w:r w:rsidRPr="00D30BC1">
              <w:rPr>
                <w:rFonts w:ascii="Arial" w:hAnsi="Arial" w:cs="Arial"/>
                <w:sz w:val="18"/>
              </w:rPr>
              <w:t xml:space="preserve">To be included in the </w:t>
            </w:r>
            <w:r>
              <w:rPr>
                <w:rFonts w:ascii="Arial" w:hAnsi="Arial" w:cs="Arial"/>
                <w:sz w:val="18"/>
                <w:szCs w:val="18"/>
              </w:rPr>
              <w:t>Capacity</w:t>
            </w:r>
            <w:r w:rsidRPr="00D30BC1">
              <w:rPr>
                <w:rFonts w:ascii="Arial" w:hAnsi="Arial" w:cs="Arial"/>
                <w:sz w:val="18"/>
                <w:szCs w:val="18"/>
              </w:rPr>
              <w:t xml:space="preserve"> </w:t>
            </w:r>
            <w:r w:rsidRPr="00D30BC1">
              <w:rPr>
                <w:rFonts w:ascii="Arial" w:hAnsi="Arial" w:cs="Arial"/>
                <w:sz w:val="18"/>
              </w:rPr>
              <w:t xml:space="preserve">class, there must be a high confidence in the commercial </w:t>
            </w:r>
            <w:r>
              <w:rPr>
                <w:rFonts w:ascii="Arial" w:hAnsi="Arial" w:cs="Arial"/>
                <w:sz w:val="18"/>
              </w:rPr>
              <w:t>storage</w:t>
            </w:r>
            <w:r w:rsidRPr="00D30BC1">
              <w:rPr>
                <w:rFonts w:ascii="Arial" w:hAnsi="Arial" w:cs="Arial"/>
                <w:sz w:val="18"/>
              </w:rPr>
              <w:t xml:space="preserve"> of the </w:t>
            </w:r>
            <w:r>
              <w:rPr>
                <w:rFonts w:ascii="Arial" w:hAnsi="Arial" w:cs="Arial"/>
                <w:sz w:val="18"/>
              </w:rPr>
              <w:t>geologic formation</w:t>
            </w:r>
            <w:r w:rsidRPr="00D30BC1">
              <w:rPr>
                <w:rFonts w:ascii="Arial" w:hAnsi="Arial" w:cs="Arial"/>
                <w:sz w:val="18"/>
              </w:rPr>
              <w:t xml:space="preserve"> as supported by actual </w:t>
            </w:r>
            <w:r>
              <w:rPr>
                <w:rFonts w:ascii="Arial" w:hAnsi="Arial" w:cs="Arial"/>
                <w:sz w:val="18"/>
              </w:rPr>
              <w:t>injection</w:t>
            </w:r>
            <w:r w:rsidRPr="00D30BC1">
              <w:rPr>
                <w:rFonts w:ascii="Arial" w:hAnsi="Arial" w:cs="Arial"/>
                <w:sz w:val="18"/>
              </w:rPr>
              <w:t xml:space="preserve"> or formation tests</w:t>
            </w:r>
            <w:r>
              <w:rPr>
                <w:rFonts w:ascii="Arial" w:hAnsi="Arial" w:cs="Arial"/>
                <w:sz w:val="18"/>
              </w:rPr>
              <w:t xml:space="preserve"> and containment</w:t>
            </w:r>
            <w:r w:rsidRPr="00D30BC1">
              <w:rPr>
                <w:rFonts w:ascii="Arial" w:hAnsi="Arial" w:cs="Arial"/>
                <w:sz w:val="18"/>
              </w:rPr>
              <w:t xml:space="preserve">. In certain cases, </w:t>
            </w:r>
            <w:r>
              <w:rPr>
                <w:rFonts w:ascii="Arial" w:hAnsi="Arial" w:cs="Arial"/>
                <w:sz w:val="18"/>
                <w:szCs w:val="18"/>
              </w:rPr>
              <w:t>Capacity</w:t>
            </w:r>
            <w:r w:rsidRPr="00D30BC1">
              <w:rPr>
                <w:rFonts w:ascii="Arial" w:hAnsi="Arial" w:cs="Arial"/>
                <w:sz w:val="18"/>
                <w:szCs w:val="18"/>
              </w:rPr>
              <w:t xml:space="preserve"> </w:t>
            </w:r>
            <w:r w:rsidRPr="00D30BC1">
              <w:rPr>
                <w:rFonts w:ascii="Arial" w:hAnsi="Arial" w:cs="Arial"/>
                <w:sz w:val="18"/>
              </w:rPr>
              <w:t xml:space="preserve">may be assigned on the basis of well logs and/or core analysis that indicate that the subject </w:t>
            </w:r>
            <w:r>
              <w:rPr>
                <w:rFonts w:ascii="Arial" w:hAnsi="Arial" w:cs="Arial"/>
                <w:sz w:val="18"/>
              </w:rPr>
              <w:t>geologic formation has accessible pore volume</w:t>
            </w:r>
            <w:r w:rsidRPr="00D30BC1">
              <w:rPr>
                <w:rFonts w:ascii="Arial" w:hAnsi="Arial" w:cs="Arial"/>
                <w:sz w:val="18"/>
              </w:rPr>
              <w:t xml:space="preserve"> and is analogous to reservoirs in the same area that are </w:t>
            </w:r>
            <w:r>
              <w:rPr>
                <w:rFonts w:ascii="Arial" w:hAnsi="Arial" w:cs="Arial"/>
                <w:sz w:val="18"/>
              </w:rPr>
              <w:t>injecting</w:t>
            </w:r>
            <w:r w:rsidRPr="00D30BC1">
              <w:rPr>
                <w:rFonts w:ascii="Arial" w:hAnsi="Arial" w:cs="Arial"/>
                <w:sz w:val="18"/>
              </w:rPr>
              <w:t xml:space="preserve"> or have demonstrated the ability to </w:t>
            </w:r>
            <w:r>
              <w:rPr>
                <w:rFonts w:ascii="Arial" w:hAnsi="Arial" w:cs="Arial"/>
                <w:sz w:val="18"/>
              </w:rPr>
              <w:t>inject</w:t>
            </w:r>
            <w:r w:rsidRPr="00D30BC1">
              <w:rPr>
                <w:rFonts w:ascii="Arial" w:hAnsi="Arial" w:cs="Arial"/>
                <w:sz w:val="18"/>
              </w:rPr>
              <w:t xml:space="preserve"> on formation tests.</w:t>
            </w:r>
          </w:p>
          <w:p w14:paraId="41AAAA75" w14:textId="77777777" w:rsidR="001C1732" w:rsidRPr="00D30BC1" w:rsidRDefault="001C1732" w:rsidP="001642F3">
            <w:pPr>
              <w:spacing w:before="60" w:after="60"/>
              <w:jc w:val="both"/>
              <w:rPr>
                <w:rFonts w:ascii="Arial" w:eastAsia="Arial Unicode MS" w:hAnsi="Arial" w:cs="Arial"/>
                <w:sz w:val="18"/>
                <w:szCs w:val="18"/>
              </w:rPr>
            </w:pPr>
          </w:p>
        </w:tc>
      </w:tr>
      <w:tr w:rsidR="001C1732" w:rsidRPr="00D30BC1" w14:paraId="40D18F35" w14:textId="77777777" w:rsidTr="001642F3">
        <w:trPr>
          <w:trHeight w:val="948"/>
        </w:trPr>
        <w:tc>
          <w:tcPr>
            <w:tcW w:w="1800" w:type="dxa"/>
          </w:tcPr>
          <w:p w14:paraId="5A9EA7BF" w14:textId="77777777" w:rsidR="001C1732" w:rsidRPr="00D30BC1" w:rsidRDefault="001C1732" w:rsidP="001642F3">
            <w:pPr>
              <w:pStyle w:val="BalloonText"/>
              <w:rPr>
                <w:rFonts w:ascii="Arial" w:hAnsi="Arial" w:cs="Arial"/>
                <w:sz w:val="18"/>
                <w:szCs w:val="24"/>
              </w:rPr>
            </w:pPr>
            <w:r w:rsidRPr="00D30BC1">
              <w:rPr>
                <w:rFonts w:ascii="Arial" w:hAnsi="Arial" w:cs="Arial"/>
                <w:sz w:val="18"/>
                <w:szCs w:val="24"/>
              </w:rPr>
              <w:t xml:space="preserve">On </w:t>
            </w:r>
            <w:r>
              <w:rPr>
                <w:rFonts w:ascii="Arial" w:hAnsi="Arial" w:cs="Arial"/>
                <w:sz w:val="18"/>
                <w:szCs w:val="24"/>
              </w:rPr>
              <w:t>Injection</w:t>
            </w:r>
          </w:p>
        </w:tc>
        <w:tc>
          <w:tcPr>
            <w:tcW w:w="2700" w:type="dxa"/>
          </w:tcPr>
          <w:p w14:paraId="13962547" w14:textId="77777777" w:rsidR="001C1732" w:rsidRPr="00D30BC1" w:rsidRDefault="001C1732" w:rsidP="001642F3">
            <w:pPr>
              <w:pStyle w:val="BalloonText"/>
              <w:rPr>
                <w:rFonts w:ascii="Arial" w:hAnsi="Arial" w:cs="Arial"/>
                <w:sz w:val="18"/>
                <w:szCs w:val="24"/>
              </w:rPr>
            </w:pPr>
            <w:r w:rsidRPr="00D30BC1">
              <w:rPr>
                <w:rFonts w:ascii="Arial" w:hAnsi="Arial" w:cs="Arial"/>
                <w:sz w:val="18"/>
                <w:szCs w:val="24"/>
              </w:rPr>
              <w:t xml:space="preserve">The development project is currently </w:t>
            </w:r>
            <w:r>
              <w:rPr>
                <w:rFonts w:ascii="Arial" w:hAnsi="Arial" w:cs="Arial"/>
                <w:sz w:val="18"/>
                <w:szCs w:val="24"/>
              </w:rPr>
              <w:t xml:space="preserve">injecting </w:t>
            </w:r>
            <w:r w:rsidRPr="00D30BC1">
              <w:rPr>
                <w:rFonts w:ascii="Arial" w:hAnsi="Arial" w:cs="Arial"/>
                <w:sz w:val="18"/>
                <w:szCs w:val="24"/>
              </w:rPr>
              <w:t xml:space="preserve">and </w:t>
            </w:r>
            <w:r>
              <w:rPr>
                <w:rFonts w:ascii="Arial" w:hAnsi="Arial" w:cs="Arial"/>
                <w:sz w:val="18"/>
                <w:szCs w:val="24"/>
              </w:rPr>
              <w:t>storing</w:t>
            </w:r>
            <w:r w:rsidR="00227132">
              <w:rPr>
                <w:rFonts w:ascii="Arial" w:hAnsi="Arial" w:cs="Arial"/>
                <w:sz w:val="18"/>
                <w:szCs w:val="24"/>
              </w:rPr>
              <w:t xml:space="preserve"> CO</w:t>
            </w:r>
            <w:r w:rsidR="00227132" w:rsidRPr="00227132">
              <w:rPr>
                <w:rFonts w:ascii="Arial" w:hAnsi="Arial" w:cs="Arial"/>
                <w:sz w:val="18"/>
                <w:szCs w:val="24"/>
                <w:vertAlign w:val="subscript"/>
              </w:rPr>
              <w:t>2</w:t>
            </w:r>
            <w:r w:rsidRPr="00D30BC1">
              <w:rPr>
                <w:rFonts w:ascii="Arial" w:hAnsi="Arial" w:cs="Arial"/>
                <w:sz w:val="18"/>
                <w:szCs w:val="24"/>
              </w:rPr>
              <w:t xml:space="preserve">. </w:t>
            </w:r>
          </w:p>
          <w:p w14:paraId="0220D4F0" w14:textId="77777777" w:rsidR="001C1732" w:rsidRPr="00D30BC1" w:rsidRDefault="001C1732" w:rsidP="001642F3">
            <w:pPr>
              <w:jc w:val="both"/>
              <w:rPr>
                <w:rFonts w:ascii="Arial" w:hAnsi="Arial" w:cs="Arial"/>
                <w:sz w:val="18"/>
              </w:rPr>
            </w:pPr>
          </w:p>
          <w:p w14:paraId="40959AE2" w14:textId="77777777" w:rsidR="001C1732" w:rsidRPr="00D30BC1" w:rsidRDefault="001C1732" w:rsidP="001642F3">
            <w:pPr>
              <w:jc w:val="both"/>
              <w:rPr>
                <w:rFonts w:ascii="Arial" w:hAnsi="Arial" w:cs="Arial"/>
                <w:sz w:val="18"/>
              </w:rPr>
            </w:pPr>
          </w:p>
        </w:tc>
        <w:tc>
          <w:tcPr>
            <w:tcW w:w="5580" w:type="dxa"/>
          </w:tcPr>
          <w:p w14:paraId="4663A393" w14:textId="77777777" w:rsidR="001C1732" w:rsidRPr="00D30BC1" w:rsidRDefault="001C1732" w:rsidP="001642F3">
            <w:pPr>
              <w:jc w:val="both"/>
              <w:rPr>
                <w:rFonts w:ascii="Arial" w:hAnsi="Arial" w:cs="Arial"/>
                <w:sz w:val="18"/>
              </w:rPr>
            </w:pPr>
            <w:r w:rsidRPr="00D30BC1">
              <w:rPr>
                <w:rFonts w:ascii="Arial" w:hAnsi="Arial" w:cs="Arial"/>
                <w:sz w:val="18"/>
              </w:rPr>
              <w:t xml:space="preserve">The key criterion is that the project is </w:t>
            </w:r>
            <w:r>
              <w:rPr>
                <w:rFonts w:ascii="Arial" w:hAnsi="Arial" w:cs="Arial"/>
                <w:sz w:val="18"/>
              </w:rPr>
              <w:t>actively injecting CO2</w:t>
            </w:r>
            <w:r w:rsidRPr="00D30BC1">
              <w:rPr>
                <w:rFonts w:ascii="Arial" w:hAnsi="Arial" w:cs="Arial"/>
                <w:sz w:val="18"/>
              </w:rPr>
              <w:t xml:space="preserve">, rather than the approved development project necessarily being complete.  This is the point at which the project </w:t>
            </w:r>
            <w:r w:rsidRPr="00D30BC1">
              <w:rPr>
                <w:sz w:val="18"/>
              </w:rPr>
              <w:t>“</w:t>
            </w:r>
            <w:r w:rsidRPr="00D30BC1">
              <w:rPr>
                <w:rFonts w:ascii="Arial" w:hAnsi="Arial" w:cs="Arial"/>
                <w:sz w:val="18"/>
              </w:rPr>
              <w:t>chance of commerciality</w:t>
            </w:r>
            <w:r w:rsidRPr="00D30BC1">
              <w:rPr>
                <w:sz w:val="18"/>
              </w:rPr>
              <w:t>”</w:t>
            </w:r>
            <w:r w:rsidRPr="00D30BC1">
              <w:rPr>
                <w:rFonts w:ascii="Arial" w:hAnsi="Arial" w:cs="Arial"/>
                <w:sz w:val="18"/>
              </w:rPr>
              <w:t xml:space="preserve"> can be said to be 100%.  </w:t>
            </w:r>
          </w:p>
          <w:p w14:paraId="77871637" w14:textId="77777777" w:rsidR="001C1732" w:rsidRPr="00D30BC1" w:rsidRDefault="001C1732" w:rsidP="001642F3">
            <w:pPr>
              <w:jc w:val="both"/>
              <w:rPr>
                <w:rFonts w:ascii="Arial" w:hAnsi="Arial" w:cs="Arial"/>
                <w:sz w:val="18"/>
              </w:rPr>
            </w:pPr>
          </w:p>
          <w:p w14:paraId="146C37B1" w14:textId="77777777" w:rsidR="001C1732" w:rsidRPr="00D30BC1" w:rsidRDefault="001C1732" w:rsidP="001642F3">
            <w:pPr>
              <w:jc w:val="both"/>
              <w:rPr>
                <w:rFonts w:ascii="Arial" w:hAnsi="Arial" w:cs="Arial"/>
                <w:sz w:val="18"/>
              </w:rPr>
            </w:pPr>
            <w:r w:rsidRPr="00D30BC1">
              <w:rPr>
                <w:rFonts w:ascii="Arial" w:hAnsi="Arial" w:cs="Arial"/>
                <w:sz w:val="18"/>
              </w:rPr>
              <w:t xml:space="preserve">The project </w:t>
            </w:r>
            <w:r w:rsidRPr="00D30BC1">
              <w:rPr>
                <w:rFonts w:cs="Arial"/>
                <w:sz w:val="18"/>
              </w:rPr>
              <w:t>“</w:t>
            </w:r>
            <w:r w:rsidRPr="00D30BC1">
              <w:rPr>
                <w:rFonts w:ascii="Arial" w:hAnsi="Arial" w:cs="Arial"/>
                <w:sz w:val="18"/>
              </w:rPr>
              <w:t>decision gate</w:t>
            </w:r>
            <w:r w:rsidRPr="00D30BC1">
              <w:rPr>
                <w:rFonts w:cs="Arial"/>
                <w:sz w:val="18"/>
              </w:rPr>
              <w:t>”</w:t>
            </w:r>
            <w:r w:rsidRPr="00D30BC1">
              <w:rPr>
                <w:rFonts w:ascii="Arial" w:hAnsi="Arial" w:cs="Arial"/>
                <w:sz w:val="18"/>
              </w:rPr>
              <w:t xml:space="preserve"> is the decision to initiate commercial </w:t>
            </w:r>
            <w:r>
              <w:rPr>
                <w:rFonts w:ascii="Arial" w:hAnsi="Arial" w:cs="Arial"/>
                <w:sz w:val="18"/>
              </w:rPr>
              <w:t>injection</w:t>
            </w:r>
            <w:r w:rsidRPr="00D30BC1">
              <w:rPr>
                <w:rFonts w:ascii="Arial" w:hAnsi="Arial" w:cs="Arial"/>
                <w:sz w:val="18"/>
              </w:rPr>
              <w:t xml:space="preserve"> from the project.</w:t>
            </w:r>
          </w:p>
          <w:p w14:paraId="16A13095" w14:textId="77777777" w:rsidR="001C1732" w:rsidRPr="00D30BC1" w:rsidRDefault="001C1732" w:rsidP="001642F3">
            <w:pPr>
              <w:jc w:val="both"/>
              <w:rPr>
                <w:rFonts w:ascii="Arial" w:hAnsi="Arial" w:cs="Arial"/>
                <w:sz w:val="18"/>
              </w:rPr>
            </w:pPr>
          </w:p>
        </w:tc>
      </w:tr>
      <w:tr w:rsidR="001C1732" w:rsidRPr="00D30BC1" w14:paraId="4BD198E6" w14:textId="77777777" w:rsidTr="001642F3">
        <w:trPr>
          <w:trHeight w:val="1281"/>
        </w:trPr>
        <w:tc>
          <w:tcPr>
            <w:tcW w:w="1800" w:type="dxa"/>
          </w:tcPr>
          <w:p w14:paraId="426FBE3E" w14:textId="77777777" w:rsidR="001C1732" w:rsidRPr="00D30BC1" w:rsidRDefault="001C1732" w:rsidP="001642F3">
            <w:pPr>
              <w:rPr>
                <w:rFonts w:ascii="Arial" w:hAnsi="Arial" w:cs="Arial"/>
                <w:sz w:val="18"/>
              </w:rPr>
            </w:pPr>
            <w:r w:rsidRPr="00D30BC1">
              <w:rPr>
                <w:rFonts w:ascii="Arial" w:hAnsi="Arial" w:cs="Arial"/>
                <w:sz w:val="18"/>
              </w:rPr>
              <w:t>Approved for Development</w:t>
            </w:r>
          </w:p>
        </w:tc>
        <w:tc>
          <w:tcPr>
            <w:tcW w:w="2700" w:type="dxa"/>
          </w:tcPr>
          <w:p w14:paraId="53E23022" w14:textId="77777777" w:rsidR="001C1732" w:rsidRPr="00D30BC1" w:rsidRDefault="001C1732" w:rsidP="001642F3">
            <w:pPr>
              <w:pStyle w:val="BalloonText"/>
              <w:rPr>
                <w:rFonts w:ascii="Arial" w:hAnsi="Arial" w:cs="Arial"/>
                <w:sz w:val="18"/>
                <w:szCs w:val="24"/>
              </w:rPr>
            </w:pPr>
            <w:r w:rsidRPr="00D30BC1">
              <w:rPr>
                <w:rFonts w:ascii="Arial" w:hAnsi="Arial" w:cs="Arial"/>
                <w:sz w:val="18"/>
                <w:szCs w:val="24"/>
              </w:rPr>
              <w:t>All necessary approvals have been obtained, capital funds have been committed, and implementation of the development project is under way.</w:t>
            </w:r>
          </w:p>
        </w:tc>
        <w:tc>
          <w:tcPr>
            <w:tcW w:w="5580" w:type="dxa"/>
          </w:tcPr>
          <w:p w14:paraId="275D5980" w14:textId="77777777" w:rsidR="001C1732" w:rsidRPr="00D30BC1" w:rsidRDefault="001C1732" w:rsidP="001642F3">
            <w:pPr>
              <w:jc w:val="both"/>
              <w:rPr>
                <w:rFonts w:ascii="Arial" w:hAnsi="Arial" w:cs="Arial"/>
                <w:sz w:val="18"/>
              </w:rPr>
            </w:pPr>
            <w:r w:rsidRPr="00D30BC1">
              <w:rPr>
                <w:rFonts w:ascii="Arial" w:hAnsi="Arial" w:cs="Arial"/>
                <w:sz w:val="18"/>
              </w:rPr>
              <w:t>At this point, it must be certain that the development project is going ahead.  The project must not be subject to any contingencies such as outstanding regulatory approvals or contracts.  Forecast capital expenditures should be included in the reporting entity</w:t>
            </w:r>
            <w:r w:rsidRPr="00D30BC1">
              <w:rPr>
                <w:rFonts w:cs="Arial"/>
                <w:sz w:val="18"/>
              </w:rPr>
              <w:t>’</w:t>
            </w:r>
            <w:r w:rsidRPr="00D30BC1">
              <w:rPr>
                <w:rFonts w:ascii="Arial" w:hAnsi="Arial" w:cs="Arial"/>
                <w:sz w:val="18"/>
              </w:rPr>
              <w:t>s current or following year</w:t>
            </w:r>
            <w:r w:rsidRPr="00D30BC1">
              <w:rPr>
                <w:rFonts w:cs="Arial"/>
                <w:sz w:val="18"/>
              </w:rPr>
              <w:t>’</w:t>
            </w:r>
            <w:r w:rsidRPr="00D30BC1">
              <w:rPr>
                <w:rFonts w:ascii="Arial" w:hAnsi="Arial" w:cs="Arial"/>
                <w:sz w:val="18"/>
              </w:rPr>
              <w:t xml:space="preserve">s approved budget.  </w:t>
            </w:r>
          </w:p>
          <w:p w14:paraId="433F5279" w14:textId="77777777" w:rsidR="001C1732" w:rsidRPr="00D30BC1" w:rsidRDefault="001C1732" w:rsidP="001642F3">
            <w:pPr>
              <w:jc w:val="both"/>
              <w:rPr>
                <w:rFonts w:ascii="Arial" w:hAnsi="Arial" w:cs="Arial"/>
                <w:sz w:val="18"/>
              </w:rPr>
            </w:pPr>
          </w:p>
          <w:p w14:paraId="6F4BD707" w14:textId="22963E9B" w:rsidR="001C1732" w:rsidRPr="00D30BC1" w:rsidRDefault="001C1732" w:rsidP="001642F3">
            <w:pPr>
              <w:jc w:val="both"/>
              <w:rPr>
                <w:rFonts w:ascii="Arial" w:hAnsi="Arial" w:cs="Arial"/>
                <w:sz w:val="18"/>
              </w:rPr>
            </w:pPr>
            <w:r w:rsidRPr="00D30BC1">
              <w:rPr>
                <w:rFonts w:ascii="Arial" w:hAnsi="Arial" w:cs="Arial"/>
                <w:sz w:val="18"/>
              </w:rPr>
              <w:t xml:space="preserve">The project </w:t>
            </w:r>
            <w:r w:rsidRPr="00D30BC1">
              <w:rPr>
                <w:rFonts w:cs="Arial"/>
                <w:sz w:val="18"/>
              </w:rPr>
              <w:t>“</w:t>
            </w:r>
            <w:r w:rsidRPr="00D30BC1">
              <w:rPr>
                <w:rFonts w:ascii="Arial" w:hAnsi="Arial" w:cs="Arial"/>
                <w:sz w:val="18"/>
              </w:rPr>
              <w:t>decision gate</w:t>
            </w:r>
            <w:r w:rsidRPr="00D30BC1">
              <w:rPr>
                <w:rFonts w:cs="Arial"/>
                <w:sz w:val="18"/>
              </w:rPr>
              <w:t>”</w:t>
            </w:r>
            <w:r w:rsidRPr="00D30BC1">
              <w:rPr>
                <w:rFonts w:ascii="Arial" w:hAnsi="Arial" w:cs="Arial"/>
                <w:sz w:val="18"/>
              </w:rPr>
              <w:t xml:space="preserve"> is the decision to start investing capital in the construction of </w:t>
            </w:r>
            <w:r w:rsidR="001E0235">
              <w:rPr>
                <w:rFonts w:ascii="Arial" w:hAnsi="Arial" w:cs="Arial"/>
                <w:sz w:val="18"/>
              </w:rPr>
              <w:t>storage (injection)</w:t>
            </w:r>
            <w:r w:rsidRPr="00D30BC1">
              <w:rPr>
                <w:rFonts w:ascii="Arial" w:hAnsi="Arial" w:cs="Arial"/>
                <w:sz w:val="18"/>
              </w:rPr>
              <w:t xml:space="preserve"> facilities and/or drilling development wells.</w:t>
            </w:r>
          </w:p>
          <w:p w14:paraId="4B851709" w14:textId="77777777" w:rsidR="001C1732" w:rsidRPr="00D30BC1" w:rsidRDefault="001C1732" w:rsidP="001642F3">
            <w:pPr>
              <w:jc w:val="both"/>
              <w:rPr>
                <w:rFonts w:ascii="Arial" w:hAnsi="Arial" w:cs="Arial"/>
                <w:sz w:val="18"/>
              </w:rPr>
            </w:pPr>
          </w:p>
        </w:tc>
      </w:tr>
    </w:tbl>
    <w:p w14:paraId="42E38739" w14:textId="77777777" w:rsidR="001C1732" w:rsidRPr="00D30BC1" w:rsidRDefault="001C1732" w:rsidP="00D30BC1">
      <w:pPr>
        <w:jc w:val="center"/>
        <w:rPr>
          <w:rFonts w:ascii="Arial" w:hAnsi="Arial" w:cs="Arial"/>
          <w:b/>
          <w:bCs/>
        </w:rPr>
      </w:pPr>
      <w:r w:rsidRPr="00D30BC1">
        <w:br w:type="page"/>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2700"/>
        <w:gridCol w:w="5580"/>
      </w:tblGrid>
      <w:tr w:rsidR="001C1732" w:rsidRPr="00D30BC1" w14:paraId="5F46B774" w14:textId="77777777" w:rsidTr="001642F3">
        <w:tc>
          <w:tcPr>
            <w:tcW w:w="1620" w:type="dxa"/>
          </w:tcPr>
          <w:p w14:paraId="2DC75D1D" w14:textId="77777777" w:rsidR="001C1732" w:rsidRPr="00D30BC1" w:rsidRDefault="001C1732" w:rsidP="001642F3">
            <w:pPr>
              <w:pStyle w:val="Subtitle"/>
              <w:jc w:val="center"/>
              <w:rPr>
                <w:b w:val="0"/>
                <w:bCs/>
                <w:sz w:val="18"/>
              </w:rPr>
            </w:pPr>
            <w:r w:rsidRPr="00D30BC1">
              <w:rPr>
                <w:sz w:val="18"/>
              </w:rPr>
              <w:t>Class</w:t>
            </w:r>
            <w:r w:rsidRPr="00D30BC1">
              <w:rPr>
                <w:b w:val="0"/>
                <w:bCs/>
                <w:sz w:val="18"/>
              </w:rPr>
              <w:t>/Sub-Class</w:t>
            </w:r>
          </w:p>
        </w:tc>
        <w:tc>
          <w:tcPr>
            <w:tcW w:w="2700" w:type="dxa"/>
          </w:tcPr>
          <w:p w14:paraId="544BFF58" w14:textId="77777777" w:rsidR="001C1732" w:rsidRPr="00D30BC1" w:rsidRDefault="001C1732" w:rsidP="001642F3">
            <w:pPr>
              <w:spacing w:before="60" w:after="60"/>
              <w:jc w:val="center"/>
              <w:rPr>
                <w:rFonts w:ascii="Arial" w:hAnsi="Arial" w:cs="Arial"/>
                <w:b/>
                <w:sz w:val="20"/>
                <w:szCs w:val="18"/>
              </w:rPr>
            </w:pPr>
            <w:r w:rsidRPr="00D30BC1">
              <w:rPr>
                <w:rFonts w:ascii="Arial" w:hAnsi="Arial" w:cs="Arial"/>
                <w:b/>
                <w:sz w:val="20"/>
                <w:szCs w:val="18"/>
              </w:rPr>
              <w:t>Definition</w:t>
            </w:r>
          </w:p>
        </w:tc>
        <w:tc>
          <w:tcPr>
            <w:tcW w:w="5580" w:type="dxa"/>
            <w:vAlign w:val="center"/>
          </w:tcPr>
          <w:p w14:paraId="028FBCB2" w14:textId="77777777" w:rsidR="001C1732" w:rsidRPr="00D30BC1" w:rsidRDefault="001C1732" w:rsidP="001642F3">
            <w:pPr>
              <w:pStyle w:val="Heading9"/>
              <w:rPr>
                <w:bCs w:val="0"/>
              </w:rPr>
            </w:pPr>
            <w:r w:rsidRPr="00D30BC1">
              <w:rPr>
                <w:bCs w:val="0"/>
              </w:rPr>
              <w:t>Guidelines</w:t>
            </w:r>
          </w:p>
        </w:tc>
      </w:tr>
      <w:tr w:rsidR="001C1732" w:rsidRPr="00D30BC1" w14:paraId="5D9E8E31" w14:textId="77777777" w:rsidTr="001642F3">
        <w:tc>
          <w:tcPr>
            <w:tcW w:w="1620" w:type="dxa"/>
          </w:tcPr>
          <w:p w14:paraId="36F8BF3A" w14:textId="77777777" w:rsidR="001C1732" w:rsidRPr="00D30BC1" w:rsidRDefault="001C1732" w:rsidP="001642F3">
            <w:pPr>
              <w:rPr>
                <w:rFonts w:ascii="Arial" w:eastAsia="Arial Unicode MS" w:hAnsi="Arial" w:cs="Arial"/>
                <w:sz w:val="18"/>
              </w:rPr>
            </w:pPr>
            <w:r w:rsidRPr="00D30BC1">
              <w:rPr>
                <w:rFonts w:ascii="Arial" w:eastAsia="Arial Unicode MS" w:hAnsi="Arial" w:cs="Arial"/>
                <w:sz w:val="18"/>
              </w:rPr>
              <w:t>Justified for Development</w:t>
            </w:r>
          </w:p>
        </w:tc>
        <w:tc>
          <w:tcPr>
            <w:tcW w:w="2700" w:type="dxa"/>
          </w:tcPr>
          <w:p w14:paraId="7FCCD5A1" w14:textId="77777777" w:rsidR="001C1732" w:rsidRPr="00D30BC1" w:rsidRDefault="001C1732" w:rsidP="001642F3">
            <w:pPr>
              <w:pStyle w:val="BalloonText"/>
              <w:rPr>
                <w:rFonts w:ascii="Arial" w:eastAsia="Arial Unicode MS" w:hAnsi="Arial" w:cs="Arial"/>
                <w:sz w:val="18"/>
                <w:szCs w:val="24"/>
              </w:rPr>
            </w:pPr>
            <w:r w:rsidRPr="00D30BC1">
              <w:rPr>
                <w:rFonts w:ascii="Arial" w:hAnsi="Arial" w:cs="Arial"/>
                <w:sz w:val="18"/>
                <w:szCs w:val="24"/>
              </w:rPr>
              <w:t>Implementation of the development project is justified on the basis of reasonable forecast commercial conditions at the time of reporting, and there are reasonable expectations that all necessary approvals/contracts will be obtained.</w:t>
            </w:r>
          </w:p>
        </w:tc>
        <w:tc>
          <w:tcPr>
            <w:tcW w:w="5580" w:type="dxa"/>
          </w:tcPr>
          <w:p w14:paraId="702C7F37" w14:textId="77777777" w:rsidR="001C1732" w:rsidRPr="00D30BC1" w:rsidRDefault="001C1732" w:rsidP="001642F3">
            <w:pPr>
              <w:jc w:val="both"/>
              <w:rPr>
                <w:rFonts w:ascii="Arial" w:eastAsia="Arial Unicode MS" w:hAnsi="Arial" w:cs="Arial"/>
                <w:sz w:val="18"/>
              </w:rPr>
            </w:pPr>
            <w:r w:rsidRPr="00D30BC1">
              <w:rPr>
                <w:rFonts w:ascii="Arial" w:eastAsia="Arial Unicode MS" w:hAnsi="Arial" w:cs="Arial"/>
                <w:sz w:val="18"/>
              </w:rPr>
              <w:t xml:space="preserve">In order to move to this level of project maturity, and hence have </w:t>
            </w:r>
            <w:r>
              <w:rPr>
                <w:rFonts w:ascii="Arial" w:hAnsi="Arial" w:cs="Arial"/>
                <w:sz w:val="18"/>
                <w:szCs w:val="18"/>
              </w:rPr>
              <w:t>Capacity</w:t>
            </w:r>
            <w:r w:rsidRPr="00D30BC1">
              <w:rPr>
                <w:rFonts w:ascii="Arial" w:hAnsi="Arial" w:cs="Arial"/>
                <w:sz w:val="18"/>
                <w:szCs w:val="18"/>
              </w:rPr>
              <w:t xml:space="preserve"> </w:t>
            </w:r>
            <w:r w:rsidRPr="00D30BC1">
              <w:rPr>
                <w:rFonts w:ascii="Arial" w:eastAsia="Arial Unicode MS" w:hAnsi="Arial" w:cs="Arial"/>
                <w:sz w:val="18"/>
              </w:rPr>
              <w:t>associated with it, the development project must be commercially viable at the time of reporting, based on the reporting entity</w:t>
            </w:r>
            <w:r w:rsidRPr="00D30BC1">
              <w:rPr>
                <w:rFonts w:eastAsia="Arial Unicode MS" w:cs="Arial"/>
                <w:sz w:val="18"/>
              </w:rPr>
              <w:t>’</w:t>
            </w:r>
            <w:r w:rsidRPr="00D30BC1">
              <w:rPr>
                <w:rFonts w:ascii="Arial" w:eastAsia="Arial Unicode MS" w:hAnsi="Arial" w:cs="Arial"/>
                <w:sz w:val="18"/>
              </w:rPr>
              <w:t>s assumptions of future prices, costs, etc. (</w:t>
            </w:r>
            <w:r w:rsidRPr="00D30BC1">
              <w:rPr>
                <w:rFonts w:eastAsia="Arial Unicode MS" w:cs="Arial"/>
                <w:sz w:val="18"/>
              </w:rPr>
              <w:t>“</w:t>
            </w:r>
            <w:r w:rsidRPr="00D30BC1">
              <w:rPr>
                <w:rFonts w:ascii="Arial" w:eastAsia="Arial Unicode MS" w:hAnsi="Arial" w:cs="Arial"/>
                <w:sz w:val="18"/>
              </w:rPr>
              <w:t>forecast case</w:t>
            </w:r>
            <w:r w:rsidRPr="00D30BC1">
              <w:rPr>
                <w:rFonts w:eastAsia="Arial Unicode MS" w:cs="Arial"/>
                <w:sz w:val="18"/>
              </w:rPr>
              <w:t>”</w:t>
            </w:r>
            <w:r w:rsidRPr="00D30BC1">
              <w:rPr>
                <w:rFonts w:ascii="Arial" w:eastAsia="Arial Unicode MS" w:hAnsi="Arial" w:cs="Arial"/>
                <w:sz w:val="18"/>
              </w:rPr>
              <w:t xml:space="preserve">) and the specific circumstances of the project. </w:t>
            </w:r>
            <w:r w:rsidRPr="00D30BC1">
              <w:rPr>
                <w:rFonts w:ascii="Arial" w:hAnsi="Arial" w:cs="Arial"/>
                <w:sz w:val="18"/>
              </w:rPr>
              <w:t xml:space="preserve">Evidence of a firm intention to proceed with development within a reasonable time frame will be sufficient to demonstrate commerciality. </w:t>
            </w:r>
            <w:r w:rsidRPr="00D30BC1">
              <w:rPr>
                <w:rFonts w:ascii="Arial" w:eastAsia="Arial Unicode MS" w:hAnsi="Arial" w:cs="Arial"/>
                <w:sz w:val="18"/>
              </w:rPr>
              <w:t xml:space="preserve">There should be a development plan in sufficient detail to support the assessment of commerciality and a reasonable expectation that any regulatory approvals or contracts required prior to project implementation will be forthcoming. Other than such approvals/contracts, there should be no known contingencies that could preclude the development from proceeding within a reasonable timeframe (see </w:t>
            </w:r>
            <w:r>
              <w:rPr>
                <w:rFonts w:ascii="Arial" w:hAnsi="Arial" w:cs="Arial"/>
                <w:sz w:val="18"/>
                <w:szCs w:val="18"/>
              </w:rPr>
              <w:t>Capacity</w:t>
            </w:r>
            <w:r w:rsidRPr="00D30BC1">
              <w:rPr>
                <w:rFonts w:ascii="Arial" w:hAnsi="Arial" w:cs="Arial"/>
                <w:sz w:val="18"/>
                <w:szCs w:val="18"/>
              </w:rPr>
              <w:t xml:space="preserve"> </w:t>
            </w:r>
            <w:r w:rsidRPr="00D30BC1">
              <w:rPr>
                <w:rFonts w:ascii="Arial" w:eastAsia="Arial Unicode MS" w:hAnsi="Arial" w:cs="Arial"/>
                <w:sz w:val="18"/>
              </w:rPr>
              <w:t>class).</w:t>
            </w:r>
          </w:p>
          <w:p w14:paraId="76195963" w14:textId="77777777" w:rsidR="001C1732" w:rsidRPr="00D30BC1" w:rsidRDefault="001C1732" w:rsidP="001642F3">
            <w:pPr>
              <w:jc w:val="both"/>
              <w:rPr>
                <w:rFonts w:ascii="Arial" w:eastAsia="Arial Unicode MS" w:hAnsi="Arial" w:cs="Arial"/>
                <w:sz w:val="18"/>
              </w:rPr>
            </w:pPr>
          </w:p>
          <w:p w14:paraId="45872745" w14:textId="77777777" w:rsidR="001C1732" w:rsidRPr="00D30BC1" w:rsidRDefault="001C1732" w:rsidP="001642F3">
            <w:pPr>
              <w:jc w:val="both"/>
              <w:rPr>
                <w:rFonts w:ascii="Arial" w:eastAsia="Arial Unicode MS" w:hAnsi="Arial" w:cs="Arial"/>
                <w:sz w:val="18"/>
              </w:rPr>
            </w:pPr>
            <w:r w:rsidRPr="00D30BC1">
              <w:rPr>
                <w:rFonts w:ascii="Arial" w:eastAsia="Arial Unicode MS" w:hAnsi="Arial" w:cs="Arial"/>
                <w:sz w:val="18"/>
              </w:rPr>
              <w:t xml:space="preserve">The project </w:t>
            </w:r>
            <w:r w:rsidRPr="00D30BC1">
              <w:rPr>
                <w:rFonts w:eastAsia="Arial Unicode MS" w:cs="Arial"/>
                <w:sz w:val="18"/>
              </w:rPr>
              <w:t>“</w:t>
            </w:r>
            <w:r w:rsidRPr="00D30BC1">
              <w:rPr>
                <w:rFonts w:ascii="Arial" w:eastAsia="Arial Unicode MS" w:hAnsi="Arial" w:cs="Arial"/>
                <w:sz w:val="18"/>
              </w:rPr>
              <w:t>decision gate</w:t>
            </w:r>
            <w:r w:rsidRPr="00D30BC1">
              <w:rPr>
                <w:rFonts w:eastAsia="Arial Unicode MS" w:cs="Arial"/>
                <w:sz w:val="18"/>
              </w:rPr>
              <w:t>”</w:t>
            </w:r>
            <w:r w:rsidRPr="00D30BC1">
              <w:rPr>
                <w:rFonts w:ascii="Arial" w:eastAsia="Arial Unicode MS" w:hAnsi="Arial" w:cs="Arial"/>
                <w:sz w:val="18"/>
              </w:rPr>
              <w:t xml:space="preserve"> is the decision by the reporting entity and its partners, if any, that the project has reached a level of technical and commercial maturity sufficient to justify proceeding with development at that point in time.</w:t>
            </w:r>
          </w:p>
          <w:p w14:paraId="6CFA6917" w14:textId="77777777" w:rsidR="001C1732" w:rsidRPr="00D30BC1" w:rsidRDefault="001C1732" w:rsidP="001642F3">
            <w:pPr>
              <w:jc w:val="both"/>
              <w:rPr>
                <w:rFonts w:ascii="Arial" w:eastAsia="Arial Unicode MS" w:hAnsi="Arial" w:cs="Arial"/>
                <w:sz w:val="18"/>
              </w:rPr>
            </w:pPr>
          </w:p>
        </w:tc>
      </w:tr>
      <w:tr w:rsidR="001C1732" w:rsidRPr="00D30BC1" w14:paraId="5B100A0C" w14:textId="77777777" w:rsidTr="001642F3">
        <w:trPr>
          <w:trHeight w:val="2068"/>
        </w:trPr>
        <w:tc>
          <w:tcPr>
            <w:tcW w:w="1620" w:type="dxa"/>
          </w:tcPr>
          <w:p w14:paraId="26C1CAF0" w14:textId="77777777" w:rsidR="001C1732" w:rsidRPr="00D30BC1" w:rsidRDefault="001C1732" w:rsidP="001642F3">
            <w:pPr>
              <w:spacing w:before="60" w:after="60"/>
              <w:rPr>
                <w:rFonts w:ascii="Arial" w:eastAsia="Arial Unicode MS" w:hAnsi="Arial" w:cs="Arial"/>
                <w:b/>
                <w:bCs/>
                <w:sz w:val="22"/>
                <w:szCs w:val="18"/>
              </w:rPr>
            </w:pPr>
            <w:r w:rsidRPr="00D30BC1">
              <w:rPr>
                <w:rFonts w:ascii="Arial" w:hAnsi="Arial" w:cs="Arial"/>
                <w:sz w:val="18"/>
                <w:lang w:val="en-CA"/>
              </w:rPr>
              <w:br w:type="page"/>
            </w:r>
            <w:r w:rsidRPr="00D30BC1">
              <w:rPr>
                <w:rFonts w:ascii="Arial" w:eastAsia="Arial Unicode MS" w:hAnsi="Arial" w:cs="Arial"/>
                <w:b/>
                <w:bCs/>
                <w:sz w:val="22"/>
                <w:szCs w:val="18"/>
              </w:rPr>
              <w:t xml:space="preserve">Contingent </w:t>
            </w:r>
            <w:r>
              <w:rPr>
                <w:rFonts w:ascii="Arial" w:eastAsia="Arial Unicode MS" w:hAnsi="Arial" w:cs="Arial"/>
                <w:b/>
                <w:bCs/>
                <w:sz w:val="22"/>
                <w:szCs w:val="18"/>
              </w:rPr>
              <w:t xml:space="preserve">Storage </w:t>
            </w:r>
            <w:r w:rsidRPr="00D30BC1">
              <w:rPr>
                <w:rFonts w:ascii="Arial" w:eastAsia="Arial Unicode MS" w:hAnsi="Arial" w:cs="Arial"/>
                <w:b/>
                <w:bCs/>
                <w:sz w:val="22"/>
                <w:szCs w:val="18"/>
              </w:rPr>
              <w:t xml:space="preserve">Resources </w:t>
            </w:r>
          </w:p>
          <w:p w14:paraId="73932A8F" w14:textId="77777777" w:rsidR="001C1732" w:rsidRPr="00D30BC1" w:rsidRDefault="001C1732" w:rsidP="001642F3">
            <w:pPr>
              <w:spacing w:before="60" w:after="60"/>
              <w:rPr>
                <w:rFonts w:ascii="Arial" w:eastAsia="Arial Unicode MS" w:hAnsi="Arial" w:cs="Arial"/>
                <w:sz w:val="18"/>
                <w:szCs w:val="18"/>
              </w:rPr>
            </w:pPr>
          </w:p>
          <w:p w14:paraId="6FD493D3" w14:textId="77777777" w:rsidR="001C1732" w:rsidRPr="00D30BC1" w:rsidRDefault="001C1732" w:rsidP="001642F3">
            <w:pPr>
              <w:spacing w:before="60" w:after="60"/>
              <w:rPr>
                <w:rFonts w:ascii="Arial" w:eastAsia="Arial Unicode MS" w:hAnsi="Arial" w:cs="Arial"/>
                <w:sz w:val="18"/>
                <w:szCs w:val="18"/>
              </w:rPr>
            </w:pPr>
          </w:p>
          <w:p w14:paraId="49380ACD" w14:textId="77777777" w:rsidR="001C1732" w:rsidRPr="00D30BC1" w:rsidRDefault="001C1732" w:rsidP="001642F3">
            <w:pPr>
              <w:spacing w:before="60" w:after="60"/>
              <w:rPr>
                <w:rFonts w:ascii="Arial" w:eastAsia="Arial Unicode MS" w:hAnsi="Arial" w:cs="Arial"/>
                <w:sz w:val="18"/>
                <w:szCs w:val="18"/>
              </w:rPr>
            </w:pPr>
          </w:p>
          <w:p w14:paraId="06032BC6" w14:textId="77777777" w:rsidR="001C1732" w:rsidRPr="00D30BC1" w:rsidRDefault="001C1732" w:rsidP="001642F3">
            <w:pPr>
              <w:spacing w:before="60" w:after="60"/>
              <w:rPr>
                <w:rFonts w:ascii="Arial" w:eastAsia="Arial Unicode MS" w:hAnsi="Arial" w:cs="Arial"/>
                <w:sz w:val="18"/>
                <w:szCs w:val="18"/>
              </w:rPr>
            </w:pPr>
          </w:p>
        </w:tc>
        <w:tc>
          <w:tcPr>
            <w:tcW w:w="2700" w:type="dxa"/>
          </w:tcPr>
          <w:p w14:paraId="42B3017A" w14:textId="77777777" w:rsidR="001C1732" w:rsidRPr="002A7155" w:rsidRDefault="001C1732" w:rsidP="00227132">
            <w:r w:rsidRPr="00D30BC1">
              <w:rPr>
                <w:rFonts w:ascii="Arial" w:hAnsi="Arial" w:cs="Arial"/>
                <w:sz w:val="18"/>
                <w:szCs w:val="18"/>
              </w:rPr>
              <w:t xml:space="preserve">Those quantities of </w:t>
            </w:r>
            <w:r>
              <w:rPr>
                <w:rFonts w:ascii="Arial" w:hAnsi="Arial" w:cs="Arial"/>
                <w:sz w:val="18"/>
                <w:szCs w:val="18"/>
              </w:rPr>
              <w:t>pore volume</w:t>
            </w:r>
            <w:r w:rsidRPr="00D30BC1">
              <w:rPr>
                <w:rFonts w:ascii="Arial" w:hAnsi="Arial" w:cs="Arial"/>
                <w:sz w:val="18"/>
                <w:szCs w:val="18"/>
              </w:rPr>
              <w:t xml:space="preserve"> estimated, as of a given date, to be potentially </w:t>
            </w:r>
            <w:r>
              <w:rPr>
                <w:rFonts w:ascii="Arial" w:hAnsi="Arial" w:cs="Arial"/>
                <w:sz w:val="18"/>
                <w:szCs w:val="18"/>
              </w:rPr>
              <w:t xml:space="preserve">accessible in </w:t>
            </w:r>
            <w:r w:rsidRPr="00D30BC1">
              <w:rPr>
                <w:rFonts w:ascii="Arial" w:hAnsi="Arial" w:cs="Arial"/>
                <w:sz w:val="18"/>
                <w:szCs w:val="18"/>
              </w:rPr>
              <w:t xml:space="preserve">known </w:t>
            </w:r>
            <w:r>
              <w:rPr>
                <w:rFonts w:ascii="Arial" w:hAnsi="Arial" w:cs="Arial"/>
                <w:sz w:val="18"/>
                <w:szCs w:val="18"/>
              </w:rPr>
              <w:t>geologic formations</w:t>
            </w:r>
            <w:r w:rsidRPr="00D30BC1">
              <w:rPr>
                <w:rFonts w:ascii="Arial" w:hAnsi="Arial" w:cs="Arial"/>
                <w:sz w:val="18"/>
                <w:szCs w:val="18"/>
              </w:rPr>
              <w:t xml:space="preserve"> by application of development projects, but which are not currently considered to be commercially </w:t>
            </w:r>
            <w:r>
              <w:rPr>
                <w:rFonts w:ascii="Arial" w:hAnsi="Arial" w:cs="Arial"/>
                <w:sz w:val="18"/>
                <w:szCs w:val="18"/>
              </w:rPr>
              <w:t>accessible</w:t>
            </w:r>
            <w:r w:rsidRPr="00D30BC1">
              <w:rPr>
                <w:rFonts w:ascii="Arial" w:hAnsi="Arial" w:cs="Arial"/>
                <w:sz w:val="18"/>
                <w:szCs w:val="18"/>
              </w:rPr>
              <w:t xml:space="preserve"> due to one or more contingencies.</w:t>
            </w:r>
          </w:p>
        </w:tc>
        <w:tc>
          <w:tcPr>
            <w:tcW w:w="5580" w:type="dxa"/>
          </w:tcPr>
          <w:p w14:paraId="684C8826" w14:textId="77777777" w:rsidR="001C1732" w:rsidRPr="00D30BC1" w:rsidRDefault="001C1732" w:rsidP="001642F3">
            <w:pPr>
              <w:spacing w:before="60" w:after="60"/>
              <w:jc w:val="both"/>
              <w:rPr>
                <w:rFonts w:ascii="Arial" w:eastAsia="Arial Unicode MS" w:hAnsi="Arial" w:cs="Arial"/>
                <w:sz w:val="18"/>
                <w:szCs w:val="18"/>
              </w:rPr>
            </w:pPr>
            <w:r w:rsidRPr="00D30BC1">
              <w:rPr>
                <w:rFonts w:ascii="Arial" w:hAnsi="Arial" w:cs="Arial"/>
                <w:sz w:val="18"/>
              </w:rPr>
              <w:t xml:space="preserve">Contingent </w:t>
            </w:r>
            <w:r>
              <w:rPr>
                <w:rFonts w:ascii="Arial" w:hAnsi="Arial" w:cs="Arial"/>
                <w:sz w:val="18"/>
              </w:rPr>
              <w:t xml:space="preserve">Storage </w:t>
            </w:r>
            <w:r w:rsidRPr="00D30BC1">
              <w:rPr>
                <w:rFonts w:ascii="Arial" w:hAnsi="Arial" w:cs="Arial"/>
                <w:sz w:val="18"/>
              </w:rPr>
              <w:t xml:space="preserve">Resources may include, for example, projects for which there are currently no viable markets, or where commercial </w:t>
            </w:r>
            <w:r>
              <w:rPr>
                <w:rFonts w:ascii="Arial" w:hAnsi="Arial" w:cs="Arial"/>
                <w:sz w:val="18"/>
              </w:rPr>
              <w:t>storage</w:t>
            </w:r>
            <w:r w:rsidRPr="00D30BC1">
              <w:rPr>
                <w:rFonts w:ascii="Arial" w:hAnsi="Arial" w:cs="Arial"/>
                <w:sz w:val="18"/>
              </w:rPr>
              <w:t xml:space="preserve"> is dependent on technology under development, or where evaluation of the </w:t>
            </w:r>
            <w:r>
              <w:rPr>
                <w:rFonts w:ascii="Arial" w:hAnsi="Arial" w:cs="Arial"/>
                <w:sz w:val="18"/>
              </w:rPr>
              <w:t>geologic formation</w:t>
            </w:r>
            <w:r w:rsidRPr="00D30BC1">
              <w:rPr>
                <w:rFonts w:ascii="Arial" w:hAnsi="Arial" w:cs="Arial"/>
                <w:sz w:val="18"/>
              </w:rPr>
              <w:t xml:space="preserve"> is insufficient to clearly assess commerciality</w:t>
            </w:r>
            <w:r w:rsidR="005F11D2">
              <w:rPr>
                <w:rFonts w:ascii="Arial" w:hAnsi="Arial" w:cs="Arial"/>
                <w:sz w:val="18"/>
              </w:rPr>
              <w:t xml:space="preserve">, or where there is </w:t>
            </w:r>
            <w:r w:rsidR="005F11D2" w:rsidRPr="005F11D2">
              <w:rPr>
                <w:rFonts w:ascii="Arial" w:hAnsi="Arial" w:cs="Arial"/>
                <w:sz w:val="18"/>
              </w:rPr>
              <w:t>negative stakeholder or public acceptance</w:t>
            </w:r>
            <w:r w:rsidRPr="00D30BC1">
              <w:rPr>
                <w:rFonts w:ascii="Arial" w:hAnsi="Arial" w:cs="Arial"/>
                <w:sz w:val="18"/>
              </w:rPr>
              <w:t xml:space="preserve">. Contingent </w:t>
            </w:r>
            <w:r>
              <w:rPr>
                <w:rFonts w:ascii="Arial" w:hAnsi="Arial" w:cs="Arial"/>
                <w:sz w:val="18"/>
              </w:rPr>
              <w:t xml:space="preserve">Storage </w:t>
            </w:r>
            <w:r w:rsidRPr="00D30BC1">
              <w:rPr>
                <w:rFonts w:ascii="Arial" w:hAnsi="Arial" w:cs="Arial"/>
                <w:sz w:val="18"/>
              </w:rPr>
              <w:t>Resources are further categorized in accordance with the level of certainty associated with the estimates and may be sub-classified based on project maturity and/or characterized by their economic status.</w:t>
            </w:r>
          </w:p>
        </w:tc>
      </w:tr>
      <w:tr w:rsidR="001C1732" w:rsidRPr="00D30BC1" w14:paraId="57C9F391" w14:textId="77777777" w:rsidTr="001642F3">
        <w:tc>
          <w:tcPr>
            <w:tcW w:w="1620" w:type="dxa"/>
          </w:tcPr>
          <w:p w14:paraId="115E4BF3" w14:textId="77777777" w:rsidR="001C1732" w:rsidRPr="00D30BC1" w:rsidRDefault="001C1732" w:rsidP="001642F3">
            <w:pPr>
              <w:spacing w:before="60" w:after="60"/>
              <w:rPr>
                <w:rFonts w:ascii="Arial" w:eastAsia="Arial Unicode MS" w:hAnsi="Arial" w:cs="Arial"/>
                <w:sz w:val="18"/>
                <w:szCs w:val="18"/>
              </w:rPr>
            </w:pPr>
            <w:r w:rsidRPr="00D30BC1">
              <w:rPr>
                <w:rFonts w:ascii="Arial" w:eastAsia="Arial Unicode MS" w:hAnsi="Arial" w:cs="Arial"/>
                <w:sz w:val="18"/>
                <w:szCs w:val="18"/>
              </w:rPr>
              <w:t>Development Pending</w:t>
            </w:r>
          </w:p>
          <w:p w14:paraId="699457BB" w14:textId="77777777" w:rsidR="001C1732" w:rsidRPr="00D30BC1" w:rsidRDefault="001C1732" w:rsidP="001642F3">
            <w:pPr>
              <w:spacing w:before="60" w:after="60"/>
              <w:rPr>
                <w:rFonts w:ascii="Arial" w:eastAsia="Arial Unicode MS" w:hAnsi="Arial" w:cs="Arial"/>
                <w:sz w:val="18"/>
                <w:szCs w:val="18"/>
              </w:rPr>
            </w:pPr>
          </w:p>
          <w:p w14:paraId="7AF69272" w14:textId="77777777" w:rsidR="001C1732" w:rsidRPr="00D30BC1" w:rsidRDefault="001C1732" w:rsidP="001642F3">
            <w:pPr>
              <w:spacing w:before="60" w:after="60"/>
              <w:rPr>
                <w:rFonts w:ascii="Arial" w:eastAsia="Arial Unicode MS" w:hAnsi="Arial" w:cs="Arial"/>
                <w:sz w:val="18"/>
                <w:szCs w:val="18"/>
              </w:rPr>
            </w:pPr>
          </w:p>
        </w:tc>
        <w:tc>
          <w:tcPr>
            <w:tcW w:w="2700" w:type="dxa"/>
          </w:tcPr>
          <w:p w14:paraId="605D26BC" w14:textId="77777777" w:rsidR="001C1732" w:rsidRPr="00D30BC1" w:rsidRDefault="001C1732" w:rsidP="001642F3">
            <w:pPr>
              <w:pStyle w:val="BalloonText"/>
              <w:autoSpaceDE w:val="0"/>
              <w:autoSpaceDN w:val="0"/>
              <w:adjustRightInd w:val="0"/>
              <w:rPr>
                <w:rFonts w:ascii="Arial" w:hAnsi="Arial" w:cs="Arial"/>
                <w:sz w:val="18"/>
                <w:szCs w:val="18"/>
              </w:rPr>
            </w:pPr>
            <w:r w:rsidRPr="00D30BC1">
              <w:rPr>
                <w:rFonts w:ascii="Arial" w:hAnsi="Arial" w:cs="Arial"/>
                <w:sz w:val="18"/>
                <w:szCs w:val="18"/>
              </w:rPr>
              <w:t xml:space="preserve">A discovered </w:t>
            </w:r>
            <w:r>
              <w:rPr>
                <w:rFonts w:ascii="Arial" w:hAnsi="Arial" w:cs="Arial"/>
                <w:sz w:val="18"/>
                <w:szCs w:val="18"/>
              </w:rPr>
              <w:t>quantity of CO2 storage resource in a geologic formation</w:t>
            </w:r>
            <w:r w:rsidRPr="00D30BC1">
              <w:rPr>
                <w:rFonts w:ascii="Arial" w:hAnsi="Arial" w:cs="Arial"/>
                <w:sz w:val="18"/>
                <w:szCs w:val="18"/>
              </w:rPr>
              <w:t xml:space="preserve"> where project activities are ongoing to justify commercial development in the foreseeable future.</w:t>
            </w:r>
          </w:p>
          <w:p w14:paraId="70A3D5EE" w14:textId="77777777" w:rsidR="001C1732" w:rsidRPr="00D30BC1" w:rsidRDefault="001C1732" w:rsidP="001642F3">
            <w:pPr>
              <w:spacing w:before="60" w:after="60"/>
              <w:rPr>
                <w:rFonts w:ascii="Arial" w:hAnsi="Arial" w:cs="Arial"/>
                <w:sz w:val="18"/>
                <w:szCs w:val="18"/>
              </w:rPr>
            </w:pPr>
          </w:p>
          <w:p w14:paraId="58531148" w14:textId="77777777" w:rsidR="001C1732" w:rsidRPr="00D30BC1" w:rsidRDefault="001C1732" w:rsidP="001642F3">
            <w:pPr>
              <w:pStyle w:val="BalloonText"/>
              <w:spacing w:before="60" w:after="60"/>
              <w:rPr>
                <w:rFonts w:ascii="Arial" w:hAnsi="Arial" w:cs="Arial"/>
                <w:sz w:val="18"/>
                <w:szCs w:val="18"/>
              </w:rPr>
            </w:pPr>
          </w:p>
        </w:tc>
        <w:tc>
          <w:tcPr>
            <w:tcW w:w="5580" w:type="dxa"/>
          </w:tcPr>
          <w:p w14:paraId="05CAE0E2" w14:textId="77777777" w:rsidR="001C1732" w:rsidRPr="00D30BC1" w:rsidRDefault="001C1732" w:rsidP="001642F3">
            <w:pPr>
              <w:spacing w:before="60" w:after="60"/>
              <w:jc w:val="both"/>
              <w:rPr>
                <w:rFonts w:ascii="Arial" w:eastAsia="Arial Unicode MS" w:hAnsi="Arial" w:cs="Arial"/>
                <w:sz w:val="18"/>
                <w:szCs w:val="18"/>
              </w:rPr>
            </w:pPr>
            <w:r w:rsidRPr="00D30BC1">
              <w:rPr>
                <w:rFonts w:ascii="Arial" w:eastAsia="Arial Unicode MS" w:hAnsi="Arial" w:cs="Arial"/>
                <w:sz w:val="18"/>
                <w:szCs w:val="18"/>
              </w:rPr>
              <w:t xml:space="preserve">The project is seen to have reasonable potential for eventual commercial development, to the extent that further data acquisition (e.g. drilling, seismic data) and/or evaluations are currently ongoing with a view to confirming that the project is commercially viable and providing the basis for selection of an appropriate development plan. The critical contingencies have been identified and are reasonably expected to be resolved within a reasonable time frame.   Note that disappointing appraisal/evaluation results could lead to a re-classification of the project to </w:t>
            </w:r>
            <w:r w:rsidRPr="00D30BC1">
              <w:rPr>
                <w:rFonts w:eastAsia="Arial Unicode MS" w:cs="Arial"/>
                <w:sz w:val="18"/>
                <w:szCs w:val="18"/>
              </w:rPr>
              <w:t>“</w:t>
            </w:r>
            <w:r w:rsidRPr="00D30BC1">
              <w:rPr>
                <w:rFonts w:ascii="Arial" w:eastAsia="Arial Unicode MS" w:hAnsi="Arial" w:cs="Arial"/>
                <w:sz w:val="18"/>
                <w:szCs w:val="18"/>
              </w:rPr>
              <w:t>On Hold</w:t>
            </w:r>
            <w:r w:rsidRPr="00D30BC1">
              <w:rPr>
                <w:rFonts w:eastAsia="Arial Unicode MS" w:cs="Arial"/>
                <w:sz w:val="18"/>
                <w:szCs w:val="18"/>
              </w:rPr>
              <w:t>”</w:t>
            </w:r>
            <w:r w:rsidRPr="00D30BC1">
              <w:rPr>
                <w:rFonts w:ascii="Arial" w:eastAsia="Arial Unicode MS" w:hAnsi="Arial" w:cs="Arial"/>
                <w:sz w:val="18"/>
                <w:szCs w:val="18"/>
              </w:rPr>
              <w:t xml:space="preserve"> or </w:t>
            </w:r>
            <w:r w:rsidRPr="00D30BC1">
              <w:rPr>
                <w:rFonts w:eastAsia="Arial Unicode MS" w:cs="Arial"/>
                <w:sz w:val="18"/>
                <w:szCs w:val="18"/>
              </w:rPr>
              <w:t>“</w:t>
            </w:r>
            <w:r w:rsidRPr="00D30BC1">
              <w:rPr>
                <w:rFonts w:ascii="Arial" w:eastAsia="Arial Unicode MS" w:hAnsi="Arial" w:cs="Arial"/>
                <w:sz w:val="18"/>
                <w:szCs w:val="18"/>
              </w:rPr>
              <w:t>Not Viable</w:t>
            </w:r>
            <w:r w:rsidRPr="00D30BC1">
              <w:rPr>
                <w:rFonts w:eastAsia="Arial Unicode MS" w:cs="Arial"/>
                <w:sz w:val="18"/>
                <w:szCs w:val="18"/>
              </w:rPr>
              <w:t>”</w:t>
            </w:r>
            <w:r w:rsidRPr="00D30BC1">
              <w:rPr>
                <w:rFonts w:ascii="Arial" w:eastAsia="Arial Unicode MS" w:hAnsi="Arial" w:cs="Arial"/>
                <w:sz w:val="18"/>
                <w:szCs w:val="18"/>
              </w:rPr>
              <w:t xml:space="preserve"> status.</w:t>
            </w:r>
          </w:p>
          <w:p w14:paraId="5321FCE4" w14:textId="30D834FA" w:rsidR="001C1732" w:rsidRPr="00D30BC1" w:rsidRDefault="001C1732" w:rsidP="001642F3">
            <w:pPr>
              <w:spacing w:before="60" w:after="60"/>
              <w:jc w:val="both"/>
              <w:rPr>
                <w:rFonts w:ascii="Arial" w:eastAsia="Arial Unicode MS" w:hAnsi="Arial" w:cs="Arial"/>
                <w:sz w:val="18"/>
                <w:szCs w:val="18"/>
              </w:rPr>
            </w:pPr>
            <w:r w:rsidRPr="00D30BC1">
              <w:rPr>
                <w:rFonts w:ascii="Arial" w:eastAsia="Arial Unicode MS" w:hAnsi="Arial" w:cs="Arial"/>
                <w:sz w:val="18"/>
                <w:szCs w:val="18"/>
              </w:rPr>
              <w:t xml:space="preserve">The project </w:t>
            </w:r>
            <w:r w:rsidRPr="00D30BC1">
              <w:rPr>
                <w:rFonts w:eastAsia="Arial Unicode MS" w:cs="Arial"/>
                <w:sz w:val="18"/>
                <w:szCs w:val="18"/>
              </w:rPr>
              <w:t>“</w:t>
            </w:r>
            <w:r w:rsidRPr="00D30BC1">
              <w:rPr>
                <w:rFonts w:ascii="Arial" w:eastAsia="Arial Unicode MS" w:hAnsi="Arial" w:cs="Arial"/>
                <w:sz w:val="18"/>
                <w:szCs w:val="18"/>
              </w:rPr>
              <w:t>decision gate</w:t>
            </w:r>
            <w:r w:rsidRPr="00D30BC1">
              <w:rPr>
                <w:rFonts w:eastAsia="Arial Unicode MS" w:cs="Arial"/>
                <w:sz w:val="18"/>
                <w:szCs w:val="18"/>
              </w:rPr>
              <w:t>”</w:t>
            </w:r>
            <w:r w:rsidRPr="00D30BC1">
              <w:rPr>
                <w:rFonts w:ascii="Arial" w:eastAsia="Arial Unicode MS" w:hAnsi="Arial" w:cs="Arial"/>
                <w:sz w:val="18"/>
                <w:szCs w:val="18"/>
              </w:rPr>
              <w:t xml:space="preserve"> is the decision to undertake further data acquisition and/or studies designed to move the project to a level of technical and commercial maturity at which a decision can be made to proceed with development and </w:t>
            </w:r>
            <w:r w:rsidR="001E0235">
              <w:rPr>
                <w:rFonts w:ascii="Arial" w:eastAsia="Arial Unicode MS" w:hAnsi="Arial" w:cs="Arial"/>
                <w:sz w:val="18"/>
                <w:szCs w:val="18"/>
              </w:rPr>
              <w:t>storage (injection)</w:t>
            </w:r>
            <w:r w:rsidRPr="00D30BC1">
              <w:rPr>
                <w:rFonts w:ascii="Arial" w:eastAsia="Arial Unicode MS" w:hAnsi="Arial" w:cs="Arial"/>
                <w:sz w:val="18"/>
                <w:szCs w:val="18"/>
              </w:rPr>
              <w:t>.</w:t>
            </w:r>
          </w:p>
          <w:p w14:paraId="59EF98E8" w14:textId="77777777" w:rsidR="001C1732" w:rsidRPr="00D30BC1" w:rsidRDefault="001C1732" w:rsidP="001642F3">
            <w:pPr>
              <w:spacing w:before="60" w:after="60"/>
              <w:jc w:val="both"/>
              <w:rPr>
                <w:rFonts w:ascii="Arial" w:eastAsia="Arial Unicode MS" w:hAnsi="Arial" w:cs="Arial"/>
                <w:sz w:val="18"/>
                <w:szCs w:val="18"/>
              </w:rPr>
            </w:pPr>
          </w:p>
        </w:tc>
      </w:tr>
    </w:tbl>
    <w:p w14:paraId="7991E21B" w14:textId="77777777" w:rsidR="001C1732" w:rsidRPr="00D30BC1" w:rsidRDefault="001C1732" w:rsidP="00D30BC1">
      <w:pPr>
        <w:jc w:val="center"/>
        <w:rPr>
          <w:rFonts w:ascii="Arial" w:hAnsi="Arial" w:cs="Arial"/>
        </w:rPr>
      </w:pPr>
      <w:r w:rsidRPr="00D30BC1">
        <w:br w:type="page"/>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2700"/>
        <w:gridCol w:w="5580"/>
      </w:tblGrid>
      <w:tr w:rsidR="001C1732" w:rsidRPr="00D30BC1" w14:paraId="46145D96" w14:textId="77777777" w:rsidTr="001642F3">
        <w:tc>
          <w:tcPr>
            <w:tcW w:w="1620" w:type="dxa"/>
          </w:tcPr>
          <w:p w14:paraId="6C9C1D3E" w14:textId="77777777" w:rsidR="001C1732" w:rsidRPr="00D30BC1" w:rsidRDefault="001C1732" w:rsidP="001642F3">
            <w:pPr>
              <w:pStyle w:val="Subtitle"/>
              <w:jc w:val="center"/>
              <w:rPr>
                <w:b w:val="0"/>
                <w:bCs/>
                <w:sz w:val="18"/>
              </w:rPr>
            </w:pPr>
            <w:r w:rsidRPr="00D30BC1">
              <w:rPr>
                <w:sz w:val="18"/>
              </w:rPr>
              <w:t>Class</w:t>
            </w:r>
            <w:r w:rsidRPr="00D30BC1">
              <w:rPr>
                <w:b w:val="0"/>
                <w:bCs/>
                <w:sz w:val="18"/>
              </w:rPr>
              <w:t>/Sub-Class</w:t>
            </w:r>
          </w:p>
        </w:tc>
        <w:tc>
          <w:tcPr>
            <w:tcW w:w="2700" w:type="dxa"/>
          </w:tcPr>
          <w:p w14:paraId="3C1AC20B" w14:textId="77777777" w:rsidR="001C1732" w:rsidRPr="00D30BC1" w:rsidRDefault="001C1732" w:rsidP="001642F3">
            <w:pPr>
              <w:spacing w:before="60" w:after="60"/>
              <w:jc w:val="center"/>
              <w:rPr>
                <w:rFonts w:ascii="Arial" w:hAnsi="Arial" w:cs="Arial"/>
                <w:b/>
                <w:sz w:val="20"/>
                <w:szCs w:val="18"/>
              </w:rPr>
            </w:pPr>
            <w:r w:rsidRPr="00D30BC1">
              <w:rPr>
                <w:rFonts w:ascii="Arial" w:hAnsi="Arial" w:cs="Arial"/>
                <w:b/>
                <w:sz w:val="20"/>
                <w:szCs w:val="18"/>
              </w:rPr>
              <w:t>Definition</w:t>
            </w:r>
          </w:p>
        </w:tc>
        <w:tc>
          <w:tcPr>
            <w:tcW w:w="5580" w:type="dxa"/>
            <w:vAlign w:val="center"/>
          </w:tcPr>
          <w:p w14:paraId="6992F6D6" w14:textId="77777777" w:rsidR="001C1732" w:rsidRPr="00D30BC1" w:rsidRDefault="001C1732" w:rsidP="001642F3">
            <w:pPr>
              <w:pStyle w:val="Heading9"/>
              <w:rPr>
                <w:bCs w:val="0"/>
              </w:rPr>
            </w:pPr>
            <w:r w:rsidRPr="00D30BC1">
              <w:rPr>
                <w:bCs w:val="0"/>
              </w:rPr>
              <w:t>Guidelines</w:t>
            </w:r>
          </w:p>
        </w:tc>
      </w:tr>
      <w:tr w:rsidR="001C1732" w:rsidRPr="00D30BC1" w14:paraId="72D3BC96" w14:textId="77777777" w:rsidTr="001642F3">
        <w:trPr>
          <w:trHeight w:val="3314"/>
        </w:trPr>
        <w:tc>
          <w:tcPr>
            <w:tcW w:w="1620" w:type="dxa"/>
          </w:tcPr>
          <w:p w14:paraId="16572846" w14:textId="77777777" w:rsidR="001C1732" w:rsidRPr="00D30BC1" w:rsidRDefault="001C1732" w:rsidP="001642F3">
            <w:pPr>
              <w:spacing w:before="60" w:after="60"/>
              <w:rPr>
                <w:rFonts w:ascii="Arial" w:eastAsia="Arial Unicode MS" w:hAnsi="Arial" w:cs="Arial"/>
                <w:sz w:val="18"/>
                <w:szCs w:val="18"/>
              </w:rPr>
            </w:pPr>
            <w:r w:rsidRPr="00D30BC1">
              <w:rPr>
                <w:rFonts w:ascii="Arial" w:eastAsia="Arial Unicode MS" w:hAnsi="Arial" w:cs="Arial"/>
                <w:sz w:val="18"/>
                <w:szCs w:val="18"/>
              </w:rPr>
              <w:t>Development Unclarified or on Hold</w:t>
            </w:r>
          </w:p>
          <w:p w14:paraId="28B0C4AC" w14:textId="77777777" w:rsidR="001C1732" w:rsidRPr="00D30BC1" w:rsidRDefault="001C1732" w:rsidP="001642F3">
            <w:pPr>
              <w:spacing w:before="60" w:after="60"/>
              <w:rPr>
                <w:rFonts w:ascii="Arial" w:eastAsia="Arial Unicode MS" w:hAnsi="Arial" w:cs="Arial"/>
                <w:sz w:val="18"/>
                <w:szCs w:val="18"/>
              </w:rPr>
            </w:pPr>
          </w:p>
          <w:p w14:paraId="2075B9A7" w14:textId="77777777" w:rsidR="001C1732" w:rsidRPr="00D30BC1" w:rsidRDefault="001C1732" w:rsidP="001642F3">
            <w:pPr>
              <w:spacing w:before="60" w:after="60"/>
              <w:rPr>
                <w:rFonts w:ascii="Arial" w:eastAsia="Arial Unicode MS" w:hAnsi="Arial" w:cs="Arial"/>
                <w:sz w:val="18"/>
                <w:szCs w:val="18"/>
              </w:rPr>
            </w:pPr>
          </w:p>
          <w:p w14:paraId="5F5FF3DD" w14:textId="77777777" w:rsidR="001C1732" w:rsidRPr="00D30BC1" w:rsidRDefault="001C1732" w:rsidP="001642F3">
            <w:pPr>
              <w:spacing w:before="60" w:after="60"/>
              <w:rPr>
                <w:rFonts w:ascii="Arial" w:eastAsia="Arial Unicode MS" w:hAnsi="Arial" w:cs="Arial"/>
                <w:sz w:val="18"/>
                <w:szCs w:val="18"/>
              </w:rPr>
            </w:pPr>
          </w:p>
        </w:tc>
        <w:tc>
          <w:tcPr>
            <w:tcW w:w="2700" w:type="dxa"/>
          </w:tcPr>
          <w:p w14:paraId="7F1B47F6" w14:textId="77777777" w:rsidR="001C1732" w:rsidRPr="00D30BC1" w:rsidRDefault="001C1732" w:rsidP="001642F3">
            <w:pPr>
              <w:autoSpaceDE w:val="0"/>
              <w:autoSpaceDN w:val="0"/>
              <w:adjustRightInd w:val="0"/>
              <w:rPr>
                <w:rFonts w:ascii="Arial" w:hAnsi="Arial" w:cs="Arial"/>
                <w:sz w:val="18"/>
                <w:szCs w:val="18"/>
              </w:rPr>
            </w:pPr>
            <w:r w:rsidRPr="00D30BC1">
              <w:rPr>
                <w:rFonts w:ascii="Arial" w:hAnsi="Arial" w:cs="Arial"/>
                <w:sz w:val="18"/>
                <w:szCs w:val="18"/>
              </w:rPr>
              <w:t xml:space="preserve">A discovered </w:t>
            </w:r>
            <w:r>
              <w:rPr>
                <w:rFonts w:ascii="Arial" w:hAnsi="Arial" w:cs="Arial"/>
                <w:sz w:val="18"/>
                <w:szCs w:val="18"/>
              </w:rPr>
              <w:t>quantity of accessible pore volume in a geologic formation</w:t>
            </w:r>
            <w:r w:rsidRPr="00D30BC1" w:rsidDel="00483BB9">
              <w:rPr>
                <w:rFonts w:ascii="Arial" w:hAnsi="Arial" w:cs="Arial"/>
                <w:sz w:val="18"/>
                <w:szCs w:val="18"/>
              </w:rPr>
              <w:t xml:space="preserve"> </w:t>
            </w:r>
            <w:r w:rsidRPr="00D30BC1">
              <w:rPr>
                <w:rFonts w:ascii="Arial" w:hAnsi="Arial" w:cs="Arial"/>
                <w:sz w:val="18"/>
                <w:szCs w:val="18"/>
              </w:rPr>
              <w:t xml:space="preserve">where project activities are on hold and/or where justification as a commercial development may be subject to significant delay. </w:t>
            </w:r>
          </w:p>
          <w:p w14:paraId="54A4B109" w14:textId="77777777" w:rsidR="001C1732" w:rsidRPr="00D30BC1" w:rsidRDefault="001C1732" w:rsidP="001642F3">
            <w:pPr>
              <w:spacing w:before="60" w:after="60"/>
              <w:rPr>
                <w:rFonts w:ascii="Arial" w:hAnsi="Arial" w:cs="Arial"/>
                <w:sz w:val="18"/>
                <w:szCs w:val="18"/>
              </w:rPr>
            </w:pPr>
          </w:p>
          <w:p w14:paraId="4D288C19" w14:textId="77777777" w:rsidR="001C1732" w:rsidRPr="00D30BC1" w:rsidRDefault="001C1732" w:rsidP="001642F3">
            <w:pPr>
              <w:spacing w:before="60" w:after="60"/>
              <w:rPr>
                <w:rFonts w:ascii="Arial" w:hAnsi="Arial" w:cs="Arial"/>
                <w:sz w:val="18"/>
                <w:szCs w:val="18"/>
              </w:rPr>
            </w:pPr>
          </w:p>
        </w:tc>
        <w:tc>
          <w:tcPr>
            <w:tcW w:w="5580" w:type="dxa"/>
          </w:tcPr>
          <w:p w14:paraId="27936F27" w14:textId="77777777" w:rsidR="001C1732" w:rsidRPr="00D30BC1" w:rsidRDefault="001C1732" w:rsidP="001642F3">
            <w:pPr>
              <w:spacing w:before="60" w:after="60"/>
              <w:jc w:val="both"/>
              <w:rPr>
                <w:rFonts w:ascii="Arial" w:eastAsia="Arial Unicode MS" w:hAnsi="Arial" w:cs="Arial"/>
                <w:sz w:val="18"/>
                <w:szCs w:val="18"/>
              </w:rPr>
            </w:pPr>
            <w:r w:rsidRPr="00D30BC1">
              <w:rPr>
                <w:rFonts w:ascii="Arial" w:eastAsia="Arial Unicode MS" w:hAnsi="Arial" w:cs="Arial"/>
                <w:sz w:val="18"/>
                <w:szCs w:val="18"/>
              </w:rPr>
              <w:t xml:space="preserve">The project is seen to have potential for eventual commercial development, but further appraisal/evaluation activities are on hold pending the removal of significant contingencies external to the project, or substantial further appraisal/evaluation activities are required to clarify the potential for eventual commercial development. Development may be subject to a significant time delay.   Note that a change in circumstances, such that there is no longer a reasonable expectation that a critical contingency can be removed in the foreseeable future, for example, could lead to a re-classification of the project to </w:t>
            </w:r>
            <w:r w:rsidRPr="00D30BC1">
              <w:rPr>
                <w:rFonts w:eastAsia="Arial Unicode MS" w:cs="Arial"/>
                <w:sz w:val="18"/>
                <w:szCs w:val="18"/>
              </w:rPr>
              <w:t>“</w:t>
            </w:r>
            <w:r w:rsidRPr="00D30BC1">
              <w:rPr>
                <w:rFonts w:ascii="Arial" w:eastAsia="Arial Unicode MS" w:hAnsi="Arial" w:cs="Arial"/>
                <w:sz w:val="18"/>
                <w:szCs w:val="18"/>
              </w:rPr>
              <w:t>Not Viable</w:t>
            </w:r>
            <w:r w:rsidRPr="00D30BC1">
              <w:rPr>
                <w:rFonts w:eastAsia="Arial Unicode MS" w:cs="Arial"/>
                <w:sz w:val="18"/>
                <w:szCs w:val="18"/>
              </w:rPr>
              <w:t>”</w:t>
            </w:r>
            <w:r w:rsidRPr="00D30BC1">
              <w:rPr>
                <w:rFonts w:ascii="Arial" w:eastAsia="Arial Unicode MS" w:hAnsi="Arial" w:cs="Arial"/>
                <w:sz w:val="18"/>
                <w:szCs w:val="18"/>
              </w:rPr>
              <w:t xml:space="preserve"> status.</w:t>
            </w:r>
          </w:p>
          <w:p w14:paraId="5E1BFD5D" w14:textId="77777777" w:rsidR="001C1732" w:rsidRPr="00D30BC1" w:rsidRDefault="001C1732" w:rsidP="001642F3">
            <w:pPr>
              <w:spacing w:before="60" w:after="60"/>
              <w:jc w:val="both"/>
              <w:rPr>
                <w:rFonts w:ascii="Arial" w:eastAsia="Arial Unicode MS" w:hAnsi="Arial" w:cs="Arial"/>
                <w:sz w:val="18"/>
                <w:szCs w:val="18"/>
              </w:rPr>
            </w:pPr>
            <w:r w:rsidRPr="00D30BC1">
              <w:rPr>
                <w:rFonts w:ascii="Arial" w:eastAsia="Arial Unicode MS" w:hAnsi="Arial" w:cs="Arial"/>
                <w:sz w:val="18"/>
                <w:szCs w:val="18"/>
              </w:rPr>
              <w:t xml:space="preserve">The project </w:t>
            </w:r>
            <w:r w:rsidRPr="00D30BC1">
              <w:rPr>
                <w:rFonts w:eastAsia="Arial Unicode MS" w:cs="Arial"/>
                <w:sz w:val="18"/>
                <w:szCs w:val="18"/>
              </w:rPr>
              <w:t>“</w:t>
            </w:r>
            <w:r w:rsidRPr="00D30BC1">
              <w:rPr>
                <w:rFonts w:ascii="Arial" w:eastAsia="Arial Unicode MS" w:hAnsi="Arial" w:cs="Arial"/>
                <w:sz w:val="18"/>
                <w:szCs w:val="18"/>
              </w:rPr>
              <w:t>decision gate</w:t>
            </w:r>
            <w:r w:rsidRPr="00D30BC1">
              <w:rPr>
                <w:rFonts w:eastAsia="Arial Unicode MS" w:cs="Arial"/>
                <w:sz w:val="18"/>
                <w:szCs w:val="18"/>
              </w:rPr>
              <w:t>”</w:t>
            </w:r>
            <w:r w:rsidRPr="00D30BC1">
              <w:rPr>
                <w:rFonts w:ascii="Arial" w:eastAsia="Arial Unicode MS" w:hAnsi="Arial" w:cs="Arial"/>
                <w:sz w:val="18"/>
                <w:szCs w:val="18"/>
              </w:rPr>
              <w:t xml:space="preserve"> is the decision to either proceed with additional evaluation designed to clarify the potential for eventual commercial development or to temporarily suspend or delay further activities pending resolution of external contingencies. </w:t>
            </w:r>
          </w:p>
        </w:tc>
      </w:tr>
      <w:tr w:rsidR="001C1732" w:rsidRPr="00D30BC1" w14:paraId="3378FAC4" w14:textId="77777777" w:rsidTr="001642F3">
        <w:trPr>
          <w:trHeight w:val="1970"/>
        </w:trPr>
        <w:tc>
          <w:tcPr>
            <w:tcW w:w="1620" w:type="dxa"/>
          </w:tcPr>
          <w:p w14:paraId="3FF6C499" w14:textId="77777777" w:rsidR="001C1732" w:rsidRPr="00D30BC1" w:rsidRDefault="001C1732" w:rsidP="001642F3">
            <w:pPr>
              <w:spacing w:before="60" w:after="60"/>
              <w:rPr>
                <w:rFonts w:ascii="Arial" w:eastAsia="Arial Unicode MS" w:hAnsi="Arial" w:cs="Arial"/>
                <w:sz w:val="18"/>
                <w:szCs w:val="18"/>
              </w:rPr>
            </w:pPr>
            <w:r w:rsidRPr="00D30BC1">
              <w:rPr>
                <w:rFonts w:ascii="Arial" w:eastAsia="Arial Unicode MS" w:hAnsi="Arial" w:cs="Arial"/>
                <w:sz w:val="18"/>
                <w:szCs w:val="18"/>
              </w:rPr>
              <w:t>Development Not Viable</w:t>
            </w:r>
          </w:p>
          <w:p w14:paraId="78E0F007" w14:textId="77777777" w:rsidR="001C1732" w:rsidRPr="00D30BC1" w:rsidRDefault="001C1732" w:rsidP="001642F3">
            <w:pPr>
              <w:spacing w:before="60" w:after="60"/>
              <w:rPr>
                <w:rFonts w:ascii="Arial" w:eastAsia="Arial Unicode MS" w:hAnsi="Arial" w:cs="Arial"/>
                <w:sz w:val="18"/>
                <w:szCs w:val="18"/>
              </w:rPr>
            </w:pPr>
          </w:p>
          <w:p w14:paraId="68654390" w14:textId="77777777" w:rsidR="001C1732" w:rsidRPr="00D30BC1" w:rsidRDefault="001C1732" w:rsidP="001642F3">
            <w:pPr>
              <w:spacing w:before="60" w:after="60"/>
              <w:rPr>
                <w:rFonts w:ascii="Arial" w:eastAsia="Arial Unicode MS" w:hAnsi="Arial" w:cs="Arial"/>
                <w:sz w:val="18"/>
                <w:szCs w:val="18"/>
              </w:rPr>
            </w:pPr>
          </w:p>
          <w:p w14:paraId="0FDDD171" w14:textId="77777777" w:rsidR="001C1732" w:rsidRPr="00D30BC1" w:rsidRDefault="001C1732" w:rsidP="001642F3">
            <w:pPr>
              <w:spacing w:before="60" w:after="60"/>
              <w:rPr>
                <w:rFonts w:ascii="Arial" w:eastAsia="Arial Unicode MS" w:hAnsi="Arial" w:cs="Arial"/>
                <w:sz w:val="18"/>
                <w:szCs w:val="18"/>
              </w:rPr>
            </w:pPr>
          </w:p>
        </w:tc>
        <w:tc>
          <w:tcPr>
            <w:tcW w:w="2700" w:type="dxa"/>
          </w:tcPr>
          <w:p w14:paraId="4BB8A5A1" w14:textId="0D893C58" w:rsidR="001C1732" w:rsidRPr="00D30BC1" w:rsidRDefault="001C1732" w:rsidP="001642F3">
            <w:pPr>
              <w:autoSpaceDE w:val="0"/>
              <w:autoSpaceDN w:val="0"/>
              <w:adjustRightInd w:val="0"/>
              <w:rPr>
                <w:rFonts w:ascii="Arial" w:hAnsi="Arial" w:cs="Arial"/>
                <w:sz w:val="18"/>
                <w:szCs w:val="18"/>
              </w:rPr>
            </w:pPr>
            <w:r w:rsidRPr="00D30BC1">
              <w:rPr>
                <w:rFonts w:ascii="Arial" w:hAnsi="Arial" w:cs="Arial"/>
                <w:sz w:val="18"/>
                <w:szCs w:val="18"/>
              </w:rPr>
              <w:t xml:space="preserve">A discovered </w:t>
            </w:r>
            <w:r>
              <w:rPr>
                <w:rFonts w:ascii="Arial" w:hAnsi="Arial" w:cs="Arial"/>
                <w:sz w:val="18"/>
                <w:szCs w:val="18"/>
              </w:rPr>
              <w:t xml:space="preserve">quantity of accessible pore volume </w:t>
            </w:r>
            <w:r w:rsidRPr="00D30BC1">
              <w:rPr>
                <w:rFonts w:ascii="Arial" w:hAnsi="Arial" w:cs="Arial"/>
                <w:sz w:val="18"/>
                <w:szCs w:val="18"/>
              </w:rPr>
              <w:t xml:space="preserve">for which there are no current plans to develop or to acquire additional data at the time due to limited </w:t>
            </w:r>
            <w:r w:rsidR="001E0235">
              <w:rPr>
                <w:rFonts w:ascii="Arial" w:hAnsi="Arial" w:cs="Arial"/>
                <w:sz w:val="18"/>
                <w:szCs w:val="18"/>
              </w:rPr>
              <w:t>storage</w:t>
            </w:r>
            <w:r w:rsidRPr="00D30BC1">
              <w:rPr>
                <w:rFonts w:ascii="Arial" w:hAnsi="Arial" w:cs="Arial"/>
                <w:sz w:val="18"/>
                <w:szCs w:val="18"/>
              </w:rPr>
              <w:t xml:space="preserve"> potential.</w:t>
            </w:r>
          </w:p>
          <w:p w14:paraId="05B6F991" w14:textId="77777777" w:rsidR="001C1732" w:rsidRPr="00D30BC1" w:rsidRDefault="001C1732" w:rsidP="001642F3">
            <w:pPr>
              <w:spacing w:before="60" w:after="60"/>
              <w:rPr>
                <w:rFonts w:ascii="Arial" w:hAnsi="Arial" w:cs="Arial"/>
                <w:sz w:val="18"/>
                <w:szCs w:val="18"/>
              </w:rPr>
            </w:pPr>
          </w:p>
        </w:tc>
        <w:tc>
          <w:tcPr>
            <w:tcW w:w="5580" w:type="dxa"/>
          </w:tcPr>
          <w:p w14:paraId="5790EE9D" w14:textId="77777777" w:rsidR="001C1732" w:rsidRPr="00D30BC1" w:rsidRDefault="001C1732" w:rsidP="001642F3">
            <w:pPr>
              <w:spacing w:before="60" w:after="60"/>
              <w:jc w:val="both"/>
              <w:rPr>
                <w:rFonts w:ascii="Arial" w:eastAsia="Arial Unicode MS" w:hAnsi="Arial" w:cs="Arial"/>
                <w:sz w:val="18"/>
                <w:szCs w:val="18"/>
              </w:rPr>
            </w:pPr>
            <w:r w:rsidRPr="00D30BC1">
              <w:rPr>
                <w:rFonts w:ascii="Arial" w:eastAsia="Arial Unicode MS" w:hAnsi="Arial" w:cs="Arial"/>
                <w:sz w:val="18"/>
                <w:szCs w:val="18"/>
              </w:rPr>
              <w:t xml:space="preserve">The project is not seen to have potential for eventual commercial development at the time of reporting, but the theoretically </w:t>
            </w:r>
            <w:r>
              <w:rPr>
                <w:rFonts w:ascii="Arial" w:eastAsia="Arial Unicode MS" w:hAnsi="Arial" w:cs="Arial"/>
                <w:sz w:val="18"/>
                <w:szCs w:val="18"/>
              </w:rPr>
              <w:t>accessible pore volume</w:t>
            </w:r>
            <w:r w:rsidRPr="00D30BC1">
              <w:rPr>
                <w:rFonts w:ascii="Arial" w:eastAsia="Arial Unicode MS" w:hAnsi="Arial" w:cs="Arial"/>
                <w:sz w:val="18"/>
                <w:szCs w:val="18"/>
              </w:rPr>
              <w:t xml:space="preserve"> quantities are recorded so that the potential opportunity will be recognized in the event of a major change in technology or commercial conditions.</w:t>
            </w:r>
          </w:p>
          <w:p w14:paraId="6E1EED0D" w14:textId="77777777" w:rsidR="001C1732" w:rsidRPr="00D30BC1" w:rsidRDefault="001C1732" w:rsidP="001642F3">
            <w:pPr>
              <w:spacing w:before="60" w:after="60"/>
              <w:jc w:val="both"/>
              <w:rPr>
                <w:rFonts w:ascii="Arial" w:eastAsia="Arial Unicode MS" w:hAnsi="Arial" w:cs="Arial"/>
                <w:sz w:val="18"/>
                <w:szCs w:val="18"/>
              </w:rPr>
            </w:pPr>
            <w:r w:rsidRPr="00D30BC1">
              <w:rPr>
                <w:rFonts w:ascii="Arial" w:eastAsia="Arial Unicode MS" w:hAnsi="Arial" w:cs="Arial"/>
                <w:sz w:val="18"/>
                <w:szCs w:val="18"/>
              </w:rPr>
              <w:t xml:space="preserve">The project </w:t>
            </w:r>
            <w:r w:rsidRPr="00D30BC1">
              <w:rPr>
                <w:rFonts w:eastAsia="Arial Unicode MS" w:cs="Arial"/>
                <w:sz w:val="18"/>
                <w:szCs w:val="18"/>
              </w:rPr>
              <w:t>“</w:t>
            </w:r>
            <w:r w:rsidRPr="00D30BC1">
              <w:rPr>
                <w:rFonts w:ascii="Arial" w:eastAsia="Arial Unicode MS" w:hAnsi="Arial" w:cs="Arial"/>
                <w:sz w:val="18"/>
                <w:szCs w:val="18"/>
              </w:rPr>
              <w:t>decision gate</w:t>
            </w:r>
            <w:r w:rsidRPr="00D30BC1">
              <w:rPr>
                <w:rFonts w:eastAsia="Arial Unicode MS" w:cs="Arial"/>
                <w:sz w:val="18"/>
                <w:szCs w:val="18"/>
              </w:rPr>
              <w:t>”</w:t>
            </w:r>
            <w:r w:rsidRPr="00D30BC1">
              <w:rPr>
                <w:rFonts w:ascii="Arial" w:eastAsia="Arial Unicode MS" w:hAnsi="Arial" w:cs="Arial"/>
                <w:sz w:val="18"/>
                <w:szCs w:val="18"/>
              </w:rPr>
              <w:t xml:space="preserve"> is the decision not to undertake any further data acquisition or studies on the project for the foreseeable future.</w:t>
            </w:r>
          </w:p>
        </w:tc>
      </w:tr>
      <w:tr w:rsidR="001C1732" w:rsidRPr="00D30BC1" w14:paraId="7FF9CEB8" w14:textId="77777777" w:rsidTr="001642F3">
        <w:tc>
          <w:tcPr>
            <w:tcW w:w="1620" w:type="dxa"/>
          </w:tcPr>
          <w:p w14:paraId="43391289" w14:textId="77777777" w:rsidR="001C1732" w:rsidRPr="00D30BC1" w:rsidRDefault="001C1732" w:rsidP="001642F3">
            <w:pPr>
              <w:pStyle w:val="Heading1"/>
              <w:spacing w:before="60" w:after="60"/>
              <w:rPr>
                <w:rFonts w:eastAsia="Arial Unicode MS"/>
                <w:b w:val="0"/>
                <w:bCs w:val="0"/>
                <w:sz w:val="22"/>
              </w:rPr>
            </w:pPr>
            <w:r w:rsidRPr="00D30BC1">
              <w:rPr>
                <w:rFonts w:eastAsia="Arial Unicode MS"/>
                <w:sz w:val="22"/>
              </w:rPr>
              <w:t>Prospective Resources</w:t>
            </w:r>
            <w:r w:rsidRPr="00D30BC1">
              <w:rPr>
                <w:rFonts w:eastAsia="Arial Unicode MS"/>
                <w:b w:val="0"/>
                <w:bCs w:val="0"/>
                <w:sz w:val="22"/>
              </w:rPr>
              <w:t xml:space="preserve"> </w:t>
            </w:r>
          </w:p>
          <w:p w14:paraId="7F88E9BB" w14:textId="77777777" w:rsidR="001C1732" w:rsidRPr="00D30BC1" w:rsidRDefault="001C1732" w:rsidP="001642F3">
            <w:pPr>
              <w:spacing w:before="60" w:after="60"/>
              <w:rPr>
                <w:rFonts w:ascii="Arial" w:eastAsia="Arial Unicode MS" w:hAnsi="Arial" w:cs="Arial"/>
                <w:sz w:val="18"/>
                <w:szCs w:val="18"/>
              </w:rPr>
            </w:pPr>
          </w:p>
        </w:tc>
        <w:tc>
          <w:tcPr>
            <w:tcW w:w="2700" w:type="dxa"/>
          </w:tcPr>
          <w:p w14:paraId="427BB494" w14:textId="77777777" w:rsidR="001C1732" w:rsidRPr="00D30BC1" w:rsidRDefault="001C1732" w:rsidP="001642F3">
            <w:pPr>
              <w:autoSpaceDE w:val="0"/>
              <w:autoSpaceDN w:val="0"/>
              <w:adjustRightInd w:val="0"/>
              <w:rPr>
                <w:rFonts w:ascii="Arial" w:hAnsi="Arial" w:cs="Arial"/>
                <w:sz w:val="18"/>
                <w:szCs w:val="18"/>
              </w:rPr>
            </w:pPr>
            <w:r w:rsidRPr="00D30BC1">
              <w:rPr>
                <w:rFonts w:ascii="Arial" w:hAnsi="Arial" w:cs="Arial"/>
                <w:sz w:val="18"/>
                <w:szCs w:val="18"/>
              </w:rPr>
              <w:t xml:space="preserve">Those quantities of </w:t>
            </w:r>
            <w:r>
              <w:rPr>
                <w:rFonts w:ascii="Arial" w:hAnsi="Arial" w:cs="Arial"/>
                <w:sz w:val="18"/>
                <w:szCs w:val="18"/>
              </w:rPr>
              <w:t xml:space="preserve">pore volume in a geological formation </w:t>
            </w:r>
            <w:r w:rsidRPr="00D30BC1">
              <w:rPr>
                <w:rFonts w:ascii="Arial" w:hAnsi="Arial" w:cs="Arial"/>
                <w:sz w:val="18"/>
                <w:szCs w:val="18"/>
              </w:rPr>
              <w:t xml:space="preserve">which are estimated, as of a given date, to be potentially </w:t>
            </w:r>
            <w:r>
              <w:rPr>
                <w:rFonts w:ascii="Arial" w:hAnsi="Arial" w:cs="Arial"/>
                <w:sz w:val="18"/>
                <w:szCs w:val="18"/>
              </w:rPr>
              <w:t>accessible</w:t>
            </w:r>
            <w:r w:rsidRPr="00D30BC1">
              <w:rPr>
                <w:rFonts w:ascii="Arial" w:hAnsi="Arial" w:cs="Arial"/>
                <w:sz w:val="18"/>
                <w:szCs w:val="18"/>
              </w:rPr>
              <w:t>.</w:t>
            </w:r>
          </w:p>
        </w:tc>
        <w:tc>
          <w:tcPr>
            <w:tcW w:w="5580" w:type="dxa"/>
          </w:tcPr>
          <w:p w14:paraId="1ECB5F2B" w14:textId="77777777" w:rsidR="001C1732" w:rsidRPr="00D30BC1" w:rsidRDefault="00227132" w:rsidP="001642F3">
            <w:pPr>
              <w:spacing w:before="60" w:after="60"/>
              <w:jc w:val="both"/>
              <w:rPr>
                <w:rFonts w:ascii="Arial" w:eastAsia="Arial Unicode MS" w:hAnsi="Arial" w:cs="Arial"/>
                <w:sz w:val="18"/>
                <w:szCs w:val="18"/>
              </w:rPr>
            </w:pPr>
            <w:r>
              <w:rPr>
                <w:rFonts w:ascii="Arial" w:eastAsia="Arial Unicode MS" w:hAnsi="Arial" w:cs="Arial"/>
                <w:sz w:val="18"/>
                <w:szCs w:val="18"/>
              </w:rPr>
              <w:t>G</w:t>
            </w:r>
            <w:r w:rsidR="001C1732">
              <w:rPr>
                <w:rFonts w:ascii="Arial" w:eastAsia="Arial Unicode MS" w:hAnsi="Arial" w:cs="Arial"/>
                <w:sz w:val="18"/>
                <w:szCs w:val="18"/>
              </w:rPr>
              <w:t>eologic formation</w:t>
            </w:r>
            <w:r w:rsidR="001C1732" w:rsidRPr="00D30BC1">
              <w:rPr>
                <w:rFonts w:ascii="Arial" w:eastAsia="Arial Unicode MS" w:hAnsi="Arial" w:cs="Arial"/>
                <w:sz w:val="18"/>
                <w:szCs w:val="18"/>
              </w:rPr>
              <w:t xml:space="preserve"> </w:t>
            </w:r>
            <w:r w:rsidR="001C1732">
              <w:rPr>
                <w:rFonts w:ascii="Arial" w:eastAsia="Arial Unicode MS" w:hAnsi="Arial" w:cs="Arial"/>
                <w:sz w:val="18"/>
                <w:szCs w:val="18"/>
              </w:rPr>
              <w:t>is</w:t>
            </w:r>
            <w:r w:rsidR="001C1732" w:rsidRPr="00D30BC1">
              <w:rPr>
                <w:rFonts w:ascii="Arial" w:eastAsia="Arial Unicode MS" w:hAnsi="Arial" w:cs="Arial"/>
                <w:sz w:val="18"/>
                <w:szCs w:val="18"/>
              </w:rPr>
              <w:t xml:space="preserve"> evaluated</w:t>
            </w:r>
            <w:r>
              <w:rPr>
                <w:rFonts w:ascii="Arial" w:eastAsia="Arial Unicode MS" w:hAnsi="Arial" w:cs="Arial"/>
                <w:sz w:val="18"/>
                <w:szCs w:val="18"/>
              </w:rPr>
              <w:t xml:space="preserve"> for potential storage</w:t>
            </w:r>
            <w:r w:rsidR="001C1732" w:rsidRPr="00D30BC1">
              <w:rPr>
                <w:rFonts w:ascii="Arial" w:eastAsia="Arial Unicode MS" w:hAnsi="Arial" w:cs="Arial"/>
                <w:sz w:val="18"/>
                <w:szCs w:val="18"/>
              </w:rPr>
              <w:t xml:space="preserve"> according to </w:t>
            </w:r>
            <w:r w:rsidR="001C1732">
              <w:rPr>
                <w:rFonts w:ascii="Arial" w:eastAsia="Arial Unicode MS" w:hAnsi="Arial" w:cs="Arial"/>
                <w:sz w:val="18"/>
                <w:szCs w:val="18"/>
              </w:rPr>
              <w:t>its</w:t>
            </w:r>
            <w:r w:rsidR="001C1732" w:rsidRPr="00D30BC1">
              <w:rPr>
                <w:rFonts w:ascii="Arial" w:eastAsia="Arial Unicode MS" w:hAnsi="Arial" w:cs="Arial"/>
                <w:sz w:val="18"/>
                <w:szCs w:val="18"/>
              </w:rPr>
              <w:t xml:space="preserve"> chance of discovery and, assuming a discovery, the estimated </w:t>
            </w:r>
            <w:r>
              <w:rPr>
                <w:rFonts w:ascii="Arial" w:eastAsia="Arial Unicode MS" w:hAnsi="Arial" w:cs="Arial"/>
                <w:sz w:val="18"/>
                <w:szCs w:val="18"/>
              </w:rPr>
              <w:t xml:space="preserve">accessible pore volume </w:t>
            </w:r>
            <w:r w:rsidR="001C1732" w:rsidRPr="00D30BC1">
              <w:rPr>
                <w:rFonts w:ascii="Arial" w:eastAsia="Arial Unicode MS" w:hAnsi="Arial" w:cs="Arial"/>
                <w:sz w:val="18"/>
                <w:szCs w:val="18"/>
              </w:rPr>
              <w:t xml:space="preserve">defined </w:t>
            </w:r>
            <w:r>
              <w:rPr>
                <w:rFonts w:ascii="Arial" w:eastAsia="Arial Unicode MS" w:hAnsi="Arial" w:cs="Arial"/>
                <w:sz w:val="18"/>
                <w:szCs w:val="18"/>
              </w:rPr>
              <w:t xml:space="preserve">by </w:t>
            </w:r>
            <w:r w:rsidR="001C1732" w:rsidRPr="00D30BC1">
              <w:rPr>
                <w:rFonts w:ascii="Arial" w:eastAsia="Arial Unicode MS" w:hAnsi="Arial" w:cs="Arial"/>
                <w:sz w:val="18"/>
                <w:szCs w:val="18"/>
              </w:rPr>
              <w:t xml:space="preserve">development projects. It is recognized that the development programs will be of significantly less detail and depend more heavily on analog developments in the earlier phases of exploration.    </w:t>
            </w:r>
          </w:p>
          <w:p w14:paraId="7B0EC072" w14:textId="77777777" w:rsidR="001C1732" w:rsidRPr="00D30BC1" w:rsidRDefault="001C1732" w:rsidP="001642F3">
            <w:pPr>
              <w:spacing w:before="60" w:after="60"/>
              <w:jc w:val="both"/>
              <w:rPr>
                <w:rFonts w:ascii="Arial" w:eastAsia="Arial Unicode MS" w:hAnsi="Arial" w:cs="Arial"/>
                <w:sz w:val="18"/>
                <w:szCs w:val="18"/>
              </w:rPr>
            </w:pPr>
          </w:p>
        </w:tc>
      </w:tr>
      <w:tr w:rsidR="001C1732" w:rsidRPr="00D30BC1" w14:paraId="2517DC76" w14:textId="77777777" w:rsidTr="001642F3">
        <w:tc>
          <w:tcPr>
            <w:tcW w:w="1620" w:type="dxa"/>
          </w:tcPr>
          <w:p w14:paraId="2D7C6C0B" w14:textId="77777777" w:rsidR="001C1732" w:rsidRPr="00D30BC1" w:rsidRDefault="001C1732" w:rsidP="001642F3">
            <w:pPr>
              <w:spacing w:before="60" w:after="60"/>
              <w:rPr>
                <w:rFonts w:ascii="Arial" w:eastAsia="Arial Unicode MS" w:hAnsi="Arial" w:cs="Arial"/>
                <w:sz w:val="18"/>
                <w:szCs w:val="18"/>
              </w:rPr>
            </w:pPr>
            <w:r w:rsidRPr="00D30BC1">
              <w:rPr>
                <w:rFonts w:ascii="Arial" w:eastAsia="Arial Unicode MS" w:hAnsi="Arial" w:cs="Arial"/>
                <w:sz w:val="18"/>
                <w:szCs w:val="18"/>
              </w:rPr>
              <w:t>Prospect</w:t>
            </w:r>
          </w:p>
        </w:tc>
        <w:tc>
          <w:tcPr>
            <w:tcW w:w="2700" w:type="dxa"/>
          </w:tcPr>
          <w:p w14:paraId="1949BDF0" w14:textId="77777777" w:rsidR="001C1732" w:rsidRPr="00D30BC1" w:rsidRDefault="001C1732" w:rsidP="00227132">
            <w:pPr>
              <w:autoSpaceDE w:val="0"/>
              <w:autoSpaceDN w:val="0"/>
              <w:adjustRightInd w:val="0"/>
              <w:rPr>
                <w:rFonts w:ascii="Arial" w:eastAsia="Arial Unicode MS" w:hAnsi="Arial" w:cs="Arial"/>
                <w:sz w:val="18"/>
                <w:szCs w:val="18"/>
              </w:rPr>
            </w:pPr>
            <w:r w:rsidRPr="00D30BC1">
              <w:rPr>
                <w:rFonts w:ascii="Arial" w:hAnsi="Arial" w:cs="Arial"/>
                <w:sz w:val="18"/>
                <w:szCs w:val="18"/>
              </w:rPr>
              <w:t xml:space="preserve">A project associated with potential </w:t>
            </w:r>
            <w:r>
              <w:rPr>
                <w:rFonts w:ascii="Arial" w:hAnsi="Arial" w:cs="Arial"/>
                <w:sz w:val="18"/>
                <w:szCs w:val="18"/>
              </w:rPr>
              <w:t>storage</w:t>
            </w:r>
            <w:r w:rsidRPr="00D30BC1">
              <w:rPr>
                <w:rFonts w:ascii="Arial" w:hAnsi="Arial" w:cs="Arial"/>
                <w:sz w:val="18"/>
                <w:szCs w:val="18"/>
              </w:rPr>
              <w:t xml:space="preserve"> that is sufficiently well defined to represent a viable drilling target.</w:t>
            </w:r>
          </w:p>
        </w:tc>
        <w:tc>
          <w:tcPr>
            <w:tcW w:w="5580" w:type="dxa"/>
          </w:tcPr>
          <w:p w14:paraId="3D084ECB" w14:textId="77777777" w:rsidR="001C1732" w:rsidRPr="00D30BC1" w:rsidRDefault="001C1732" w:rsidP="001642F3">
            <w:pPr>
              <w:spacing w:before="60" w:after="60"/>
              <w:jc w:val="both"/>
              <w:rPr>
                <w:rFonts w:ascii="Arial" w:hAnsi="Arial" w:cs="Arial"/>
                <w:sz w:val="18"/>
                <w:szCs w:val="18"/>
              </w:rPr>
            </w:pPr>
            <w:r w:rsidRPr="00D30BC1">
              <w:rPr>
                <w:rFonts w:ascii="Arial" w:hAnsi="Arial" w:cs="Arial"/>
                <w:sz w:val="18"/>
                <w:szCs w:val="18"/>
              </w:rPr>
              <w:t xml:space="preserve">Project activities are focused on assessing the chance of discovery and, assuming discovery, the range of potential </w:t>
            </w:r>
            <w:r>
              <w:rPr>
                <w:rFonts w:ascii="Arial" w:hAnsi="Arial" w:cs="Arial"/>
                <w:sz w:val="18"/>
                <w:szCs w:val="18"/>
              </w:rPr>
              <w:t xml:space="preserve">accessible pore volume </w:t>
            </w:r>
            <w:r w:rsidRPr="00D30BC1">
              <w:rPr>
                <w:rFonts w:ascii="Arial" w:hAnsi="Arial" w:cs="Arial"/>
                <w:sz w:val="18"/>
                <w:szCs w:val="18"/>
              </w:rPr>
              <w:t>quantities under a commercial development program.</w:t>
            </w:r>
          </w:p>
          <w:p w14:paraId="02C39AD7" w14:textId="77777777" w:rsidR="001C1732" w:rsidRPr="00D30BC1" w:rsidRDefault="001C1732" w:rsidP="001642F3">
            <w:pPr>
              <w:spacing w:before="60" w:after="60"/>
              <w:jc w:val="both"/>
              <w:rPr>
                <w:rFonts w:ascii="Arial" w:eastAsia="Arial Unicode MS" w:hAnsi="Arial" w:cs="Arial"/>
                <w:sz w:val="18"/>
                <w:szCs w:val="18"/>
              </w:rPr>
            </w:pPr>
          </w:p>
        </w:tc>
      </w:tr>
      <w:tr w:rsidR="001C1732" w:rsidRPr="00D30BC1" w14:paraId="61F9C699" w14:textId="77777777" w:rsidTr="001642F3">
        <w:tc>
          <w:tcPr>
            <w:tcW w:w="1620" w:type="dxa"/>
          </w:tcPr>
          <w:p w14:paraId="1F7150BF" w14:textId="77777777" w:rsidR="001C1732" w:rsidRPr="00D30BC1" w:rsidRDefault="001C1732" w:rsidP="001642F3">
            <w:pPr>
              <w:spacing w:before="60" w:after="60"/>
              <w:rPr>
                <w:rFonts w:ascii="Arial" w:eastAsia="Arial Unicode MS" w:hAnsi="Arial" w:cs="Arial"/>
                <w:sz w:val="18"/>
                <w:szCs w:val="18"/>
              </w:rPr>
            </w:pPr>
            <w:r w:rsidRPr="00D30BC1">
              <w:rPr>
                <w:rFonts w:ascii="Arial" w:eastAsia="Arial Unicode MS" w:hAnsi="Arial" w:cs="Arial"/>
                <w:sz w:val="18"/>
                <w:szCs w:val="18"/>
              </w:rPr>
              <w:t>Lead</w:t>
            </w:r>
          </w:p>
        </w:tc>
        <w:tc>
          <w:tcPr>
            <w:tcW w:w="2700" w:type="dxa"/>
          </w:tcPr>
          <w:p w14:paraId="59336A81" w14:textId="77777777" w:rsidR="001C1732" w:rsidRPr="00D30BC1" w:rsidRDefault="001C1732" w:rsidP="001642F3">
            <w:pPr>
              <w:autoSpaceDE w:val="0"/>
              <w:autoSpaceDN w:val="0"/>
              <w:adjustRightInd w:val="0"/>
              <w:rPr>
                <w:rFonts w:ascii="Arial" w:eastAsia="Arial Unicode MS" w:hAnsi="Arial" w:cs="Arial"/>
                <w:sz w:val="18"/>
                <w:szCs w:val="18"/>
              </w:rPr>
            </w:pPr>
            <w:r w:rsidRPr="00D30BC1">
              <w:rPr>
                <w:rFonts w:ascii="Arial" w:hAnsi="Arial" w:cs="Arial"/>
                <w:sz w:val="18"/>
                <w:szCs w:val="18"/>
              </w:rPr>
              <w:t xml:space="preserve">A project associated with potential </w:t>
            </w:r>
            <w:r>
              <w:rPr>
                <w:rFonts w:ascii="Arial" w:hAnsi="Arial" w:cs="Arial"/>
                <w:sz w:val="18"/>
                <w:szCs w:val="18"/>
              </w:rPr>
              <w:t>CO</w:t>
            </w:r>
            <w:r w:rsidRPr="00634766">
              <w:rPr>
                <w:rFonts w:ascii="Arial" w:hAnsi="Arial" w:cs="Arial"/>
                <w:sz w:val="18"/>
                <w:szCs w:val="18"/>
                <w:vertAlign w:val="subscript"/>
              </w:rPr>
              <w:t>2</w:t>
            </w:r>
            <w:r>
              <w:rPr>
                <w:rFonts w:ascii="Arial" w:hAnsi="Arial" w:cs="Arial"/>
                <w:sz w:val="18"/>
                <w:szCs w:val="18"/>
              </w:rPr>
              <w:t xml:space="preserve"> storage</w:t>
            </w:r>
            <w:r w:rsidRPr="00D30BC1">
              <w:rPr>
                <w:rFonts w:ascii="Arial" w:hAnsi="Arial" w:cs="Arial"/>
                <w:sz w:val="18"/>
                <w:szCs w:val="18"/>
              </w:rPr>
              <w:t xml:space="preserve"> that is currently poorly defined and requires more data acquisition and/or evaluation in order to be classified as a prospect.</w:t>
            </w:r>
          </w:p>
        </w:tc>
        <w:tc>
          <w:tcPr>
            <w:tcW w:w="5580" w:type="dxa"/>
          </w:tcPr>
          <w:p w14:paraId="2489BCC5" w14:textId="77777777" w:rsidR="001C1732" w:rsidRPr="00D30BC1" w:rsidRDefault="001C1732" w:rsidP="001642F3">
            <w:pPr>
              <w:spacing w:before="60" w:after="60"/>
              <w:jc w:val="both"/>
              <w:rPr>
                <w:rFonts w:ascii="Arial" w:hAnsi="Arial" w:cs="Arial"/>
                <w:sz w:val="18"/>
                <w:szCs w:val="18"/>
              </w:rPr>
            </w:pPr>
            <w:r w:rsidRPr="00D30BC1">
              <w:rPr>
                <w:rFonts w:ascii="Arial" w:hAnsi="Arial" w:cs="Arial"/>
                <w:sz w:val="18"/>
                <w:szCs w:val="18"/>
              </w:rPr>
              <w:t xml:space="preserve">Project activities are focused on acquiring additional data and/or undertaking further evaluation designed to confirm whether or not the lead can be matured into a prospect.  Such evaluation includes the assessment of the chance of discovery and, assuming discovery, the range of potential </w:t>
            </w:r>
            <w:r>
              <w:rPr>
                <w:rFonts w:ascii="Arial" w:hAnsi="Arial" w:cs="Arial"/>
                <w:sz w:val="18"/>
                <w:szCs w:val="18"/>
              </w:rPr>
              <w:t>stora</w:t>
            </w:r>
            <w:r w:rsidR="00634766">
              <w:rPr>
                <w:rFonts w:ascii="Arial" w:hAnsi="Arial" w:cs="Arial"/>
                <w:sz w:val="18"/>
                <w:szCs w:val="18"/>
              </w:rPr>
              <w:t xml:space="preserve">ble quantities </w:t>
            </w:r>
            <w:r w:rsidRPr="00D30BC1">
              <w:rPr>
                <w:rFonts w:ascii="Arial" w:hAnsi="Arial" w:cs="Arial"/>
                <w:sz w:val="18"/>
                <w:szCs w:val="18"/>
              </w:rPr>
              <w:t>under feasible development scenarios.</w:t>
            </w:r>
          </w:p>
          <w:p w14:paraId="531B863D" w14:textId="77777777" w:rsidR="001C1732" w:rsidRPr="00D30BC1" w:rsidRDefault="001C1732" w:rsidP="001642F3">
            <w:pPr>
              <w:spacing w:before="60" w:after="60"/>
              <w:jc w:val="both"/>
              <w:rPr>
                <w:rFonts w:ascii="Arial" w:eastAsia="Arial Unicode MS" w:hAnsi="Arial" w:cs="Arial"/>
                <w:sz w:val="18"/>
                <w:szCs w:val="18"/>
              </w:rPr>
            </w:pPr>
          </w:p>
        </w:tc>
      </w:tr>
      <w:tr w:rsidR="001C1732" w:rsidRPr="00D30BC1" w14:paraId="22BB4B14" w14:textId="77777777" w:rsidTr="001642F3">
        <w:tc>
          <w:tcPr>
            <w:tcW w:w="1620" w:type="dxa"/>
          </w:tcPr>
          <w:p w14:paraId="4644BFC3" w14:textId="77777777" w:rsidR="001C1732" w:rsidRPr="00D30BC1" w:rsidRDefault="001C1732" w:rsidP="001642F3">
            <w:pPr>
              <w:spacing w:before="60" w:after="60"/>
              <w:rPr>
                <w:rFonts w:ascii="Arial" w:eastAsia="Arial Unicode MS" w:hAnsi="Arial" w:cs="Arial"/>
                <w:sz w:val="18"/>
                <w:szCs w:val="18"/>
              </w:rPr>
            </w:pPr>
            <w:r w:rsidRPr="00D30BC1">
              <w:rPr>
                <w:rFonts w:ascii="Arial" w:eastAsia="Arial Unicode MS" w:hAnsi="Arial" w:cs="Arial"/>
                <w:sz w:val="18"/>
                <w:szCs w:val="18"/>
              </w:rPr>
              <w:t>Play</w:t>
            </w:r>
          </w:p>
        </w:tc>
        <w:tc>
          <w:tcPr>
            <w:tcW w:w="2700" w:type="dxa"/>
          </w:tcPr>
          <w:p w14:paraId="567D700F" w14:textId="77777777" w:rsidR="001C1732" w:rsidRPr="00D30BC1" w:rsidRDefault="001C1732" w:rsidP="001642F3">
            <w:pPr>
              <w:autoSpaceDE w:val="0"/>
              <w:autoSpaceDN w:val="0"/>
              <w:adjustRightInd w:val="0"/>
              <w:rPr>
                <w:rFonts w:ascii="Arial" w:hAnsi="Arial" w:cs="Arial"/>
                <w:sz w:val="18"/>
                <w:szCs w:val="18"/>
              </w:rPr>
            </w:pPr>
            <w:r w:rsidRPr="00D30BC1">
              <w:rPr>
                <w:rFonts w:ascii="Arial" w:hAnsi="Arial" w:cs="Arial"/>
                <w:sz w:val="18"/>
                <w:szCs w:val="18"/>
              </w:rPr>
              <w:t xml:space="preserve">A project associated with a prospective trend of potential prospects, but which requires more data acquisition and/or evaluation in order to define specific leads or prospects. </w:t>
            </w:r>
          </w:p>
          <w:p w14:paraId="2540CF96" w14:textId="77777777" w:rsidR="001C1732" w:rsidRPr="00D30BC1" w:rsidRDefault="001C1732" w:rsidP="001642F3">
            <w:pPr>
              <w:autoSpaceDE w:val="0"/>
              <w:autoSpaceDN w:val="0"/>
              <w:adjustRightInd w:val="0"/>
              <w:rPr>
                <w:rFonts w:ascii="Arial" w:eastAsia="Arial Unicode MS" w:hAnsi="Arial" w:cs="Arial"/>
                <w:sz w:val="18"/>
                <w:szCs w:val="18"/>
              </w:rPr>
            </w:pPr>
          </w:p>
        </w:tc>
        <w:tc>
          <w:tcPr>
            <w:tcW w:w="5580" w:type="dxa"/>
          </w:tcPr>
          <w:p w14:paraId="426862B1" w14:textId="77777777" w:rsidR="001C1732" w:rsidRPr="00D30BC1" w:rsidRDefault="001C1732" w:rsidP="001642F3">
            <w:pPr>
              <w:spacing w:before="60" w:after="60"/>
              <w:jc w:val="both"/>
              <w:rPr>
                <w:rFonts w:ascii="Arial" w:hAnsi="Arial" w:cs="Arial"/>
                <w:sz w:val="18"/>
                <w:szCs w:val="18"/>
              </w:rPr>
            </w:pPr>
            <w:r w:rsidRPr="00D30BC1">
              <w:rPr>
                <w:rFonts w:ascii="Arial" w:hAnsi="Arial" w:cs="Arial"/>
                <w:sz w:val="18"/>
                <w:szCs w:val="18"/>
              </w:rPr>
              <w:t xml:space="preserve">Project activities are focused on acquiring additional data and/or undertaking further evaluation designed to define specific leads or prospects for more detailed analysis of their chance of discovery and, assuming discovery, the range of potential </w:t>
            </w:r>
            <w:r w:rsidR="00634766">
              <w:rPr>
                <w:rFonts w:ascii="Arial" w:hAnsi="Arial" w:cs="Arial"/>
                <w:sz w:val="18"/>
                <w:szCs w:val="18"/>
              </w:rPr>
              <w:t xml:space="preserve">storable quantities </w:t>
            </w:r>
            <w:r w:rsidRPr="00D30BC1">
              <w:rPr>
                <w:rFonts w:ascii="Arial" w:hAnsi="Arial" w:cs="Arial"/>
                <w:sz w:val="18"/>
                <w:szCs w:val="18"/>
              </w:rPr>
              <w:t>under hypothetical development scenarios.</w:t>
            </w:r>
          </w:p>
          <w:p w14:paraId="399EF8CB" w14:textId="6584C37E" w:rsidR="001C1732" w:rsidRPr="00D30BC1" w:rsidRDefault="00D67BF1" w:rsidP="001E0235">
            <w:pPr>
              <w:spacing w:before="60" w:after="60"/>
              <w:jc w:val="both"/>
              <w:rPr>
                <w:rFonts w:ascii="Arial" w:eastAsia="Arial Unicode MS" w:hAnsi="Arial" w:cs="Arial"/>
                <w:sz w:val="18"/>
                <w:szCs w:val="18"/>
              </w:rPr>
            </w:pPr>
            <w:r>
              <w:rPr>
                <w:rFonts w:ascii="Arial" w:eastAsia="Arial Unicode MS" w:hAnsi="Arial" w:cs="Arial"/>
                <w:sz w:val="18"/>
                <w:szCs w:val="18"/>
              </w:rPr>
              <w:t>Regional assessment</w:t>
            </w:r>
            <w:r w:rsidR="001E0235">
              <w:rPr>
                <w:rFonts w:ascii="Arial" w:eastAsia="Arial Unicode MS" w:hAnsi="Arial" w:cs="Arial"/>
                <w:sz w:val="18"/>
                <w:szCs w:val="18"/>
              </w:rPr>
              <w:t>s of</w:t>
            </w:r>
            <w:r>
              <w:rPr>
                <w:rFonts w:ascii="Arial" w:eastAsia="Arial Unicode MS" w:hAnsi="Arial" w:cs="Arial"/>
                <w:sz w:val="18"/>
                <w:szCs w:val="18"/>
              </w:rPr>
              <w:t xml:space="preserve"> storable quantities</w:t>
            </w:r>
            <w:r w:rsidR="001E0235">
              <w:rPr>
                <w:rFonts w:ascii="Arial" w:eastAsia="Arial Unicode MS" w:hAnsi="Arial" w:cs="Arial"/>
                <w:sz w:val="18"/>
                <w:szCs w:val="18"/>
              </w:rPr>
              <w:t>, depending on regional extent compared to data availability, will likely have this “play” classification.</w:t>
            </w:r>
          </w:p>
        </w:tc>
      </w:tr>
    </w:tbl>
    <w:p w14:paraId="063C151D" w14:textId="77777777" w:rsidR="001C1732" w:rsidRDefault="001C1732"/>
    <w:p w14:paraId="4A029AA7" w14:textId="77777777" w:rsidR="0084589A" w:rsidRDefault="00BF46B4" w:rsidP="001C1732">
      <w:pPr>
        <w:pStyle w:val="Title"/>
        <w:ind w:right="-482"/>
        <w:rPr>
          <w:lang w:val="en-CA"/>
        </w:rPr>
      </w:pPr>
      <w:r w:rsidRPr="00D30BC1">
        <w:rPr>
          <w:lang w:val="en-CA"/>
        </w:rPr>
        <w:br w:type="page"/>
      </w:r>
    </w:p>
    <w:p w14:paraId="60F3DD72" w14:textId="77777777" w:rsidR="0084589A" w:rsidRPr="00D30BC1" w:rsidRDefault="0084589A" w:rsidP="00D30BC1">
      <w:pPr>
        <w:pStyle w:val="Title"/>
        <w:ind w:right="-482"/>
        <w:rPr>
          <w:b w:val="0"/>
          <w:bCs w:val="0"/>
          <w:sz w:val="28"/>
          <w:lang w:val="en-CA"/>
        </w:rPr>
      </w:pPr>
      <w:r w:rsidRPr="00D30BC1">
        <w:rPr>
          <w:sz w:val="28"/>
          <w:lang w:val="en-CA"/>
        </w:rPr>
        <w:t xml:space="preserve">Table 2: </w:t>
      </w:r>
      <w:r>
        <w:rPr>
          <w:sz w:val="28"/>
          <w:lang w:val="en-CA"/>
        </w:rPr>
        <w:t>Capacity</w:t>
      </w:r>
      <w:r w:rsidRPr="00D30BC1">
        <w:rPr>
          <w:sz w:val="28"/>
          <w:lang w:val="en-CA"/>
        </w:rPr>
        <w:t xml:space="preserve"> Status Definitions and Guidelines </w:t>
      </w:r>
    </w:p>
    <w:p w14:paraId="06834405" w14:textId="77777777" w:rsidR="0084589A" w:rsidRPr="00D30BC1" w:rsidRDefault="0084589A" w:rsidP="00D30BC1">
      <w:pPr>
        <w:pStyle w:val="Title"/>
        <w:ind w:right="-482"/>
        <w:jc w:val="left"/>
        <w:rPr>
          <w:sz w:val="28"/>
          <w:lang w:val="en-CA"/>
        </w:rPr>
      </w:pP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2700"/>
        <w:gridCol w:w="5580"/>
      </w:tblGrid>
      <w:tr w:rsidR="0084589A" w:rsidRPr="00D30BC1" w14:paraId="0E613771" w14:textId="77777777">
        <w:tc>
          <w:tcPr>
            <w:tcW w:w="1620" w:type="dxa"/>
          </w:tcPr>
          <w:p w14:paraId="74D532FA" w14:textId="77777777" w:rsidR="0084589A" w:rsidRPr="00D30BC1" w:rsidRDefault="0084589A" w:rsidP="00D30BC1">
            <w:pPr>
              <w:spacing w:before="60" w:after="60"/>
              <w:jc w:val="center"/>
              <w:rPr>
                <w:rFonts w:ascii="Arial" w:eastAsia="Arial Unicode MS" w:hAnsi="Arial" w:cs="Arial"/>
                <w:b/>
                <w:bCs/>
                <w:sz w:val="20"/>
                <w:szCs w:val="18"/>
              </w:rPr>
            </w:pPr>
            <w:r w:rsidRPr="00D30BC1">
              <w:rPr>
                <w:rFonts w:ascii="Arial" w:eastAsia="Arial Unicode MS" w:hAnsi="Arial" w:cs="Arial"/>
                <w:b/>
                <w:bCs/>
                <w:sz w:val="20"/>
                <w:szCs w:val="18"/>
              </w:rPr>
              <w:t>Status</w:t>
            </w:r>
          </w:p>
        </w:tc>
        <w:tc>
          <w:tcPr>
            <w:tcW w:w="2700" w:type="dxa"/>
            <w:vAlign w:val="center"/>
          </w:tcPr>
          <w:p w14:paraId="3211A5BF" w14:textId="77777777" w:rsidR="0084589A" w:rsidRPr="00D30BC1" w:rsidRDefault="0084589A" w:rsidP="00D30BC1">
            <w:pPr>
              <w:pStyle w:val="Heading9"/>
            </w:pPr>
            <w:r w:rsidRPr="00D30BC1">
              <w:t>Definition</w:t>
            </w:r>
          </w:p>
        </w:tc>
        <w:tc>
          <w:tcPr>
            <w:tcW w:w="5580" w:type="dxa"/>
          </w:tcPr>
          <w:p w14:paraId="6A104CDA" w14:textId="77777777" w:rsidR="0084589A" w:rsidRPr="00D30BC1" w:rsidRDefault="0084589A" w:rsidP="00D30BC1">
            <w:pPr>
              <w:spacing w:before="60" w:after="60"/>
              <w:jc w:val="center"/>
              <w:rPr>
                <w:rFonts w:ascii="Arial" w:hAnsi="Arial" w:cs="Arial"/>
                <w:b/>
                <w:bCs/>
                <w:sz w:val="20"/>
              </w:rPr>
            </w:pPr>
            <w:r w:rsidRPr="00D30BC1">
              <w:rPr>
                <w:rFonts w:ascii="Arial" w:hAnsi="Arial" w:cs="Arial"/>
                <w:b/>
                <w:bCs/>
                <w:sz w:val="20"/>
              </w:rPr>
              <w:t>Guidelines</w:t>
            </w:r>
          </w:p>
        </w:tc>
      </w:tr>
      <w:tr w:rsidR="0084589A" w:rsidRPr="00D30BC1" w14:paraId="4E1B2B3C" w14:textId="77777777">
        <w:trPr>
          <w:trHeight w:val="1500"/>
        </w:trPr>
        <w:tc>
          <w:tcPr>
            <w:tcW w:w="1620" w:type="dxa"/>
          </w:tcPr>
          <w:p w14:paraId="4298A146" w14:textId="77777777" w:rsidR="0084589A" w:rsidRPr="00D30BC1" w:rsidRDefault="0084589A" w:rsidP="00D30BC1">
            <w:pPr>
              <w:spacing w:before="60" w:after="60"/>
              <w:jc w:val="both"/>
              <w:rPr>
                <w:rFonts w:ascii="Arial" w:eastAsia="Arial Unicode MS" w:hAnsi="Arial" w:cs="Arial"/>
                <w:b/>
                <w:bCs/>
                <w:sz w:val="22"/>
                <w:szCs w:val="18"/>
              </w:rPr>
            </w:pPr>
            <w:r w:rsidRPr="00D30BC1">
              <w:rPr>
                <w:rFonts w:ascii="Arial" w:eastAsia="Arial Unicode MS" w:hAnsi="Arial" w:cs="Arial"/>
                <w:b/>
                <w:bCs/>
                <w:sz w:val="22"/>
                <w:szCs w:val="18"/>
              </w:rPr>
              <w:t xml:space="preserve">Developed </w:t>
            </w:r>
            <w:r>
              <w:rPr>
                <w:rFonts w:ascii="Arial" w:eastAsia="Arial Unicode MS" w:hAnsi="Arial" w:cs="Arial"/>
                <w:b/>
                <w:bCs/>
                <w:sz w:val="22"/>
                <w:szCs w:val="18"/>
              </w:rPr>
              <w:t>Capacity</w:t>
            </w:r>
            <w:r w:rsidRPr="00D30BC1">
              <w:rPr>
                <w:rFonts w:ascii="Arial" w:eastAsia="Arial Unicode MS" w:hAnsi="Arial" w:cs="Arial"/>
                <w:b/>
                <w:bCs/>
                <w:sz w:val="22"/>
                <w:szCs w:val="18"/>
              </w:rPr>
              <w:t xml:space="preserve"> </w:t>
            </w:r>
          </w:p>
          <w:p w14:paraId="746FCF3F" w14:textId="77777777" w:rsidR="0084589A" w:rsidRPr="00D30BC1" w:rsidRDefault="0084589A" w:rsidP="00D30BC1">
            <w:pPr>
              <w:spacing w:before="60" w:after="60"/>
              <w:jc w:val="both"/>
              <w:rPr>
                <w:rFonts w:ascii="Arial" w:eastAsia="Arial Unicode MS" w:hAnsi="Arial" w:cs="Arial"/>
                <w:sz w:val="18"/>
                <w:szCs w:val="18"/>
              </w:rPr>
            </w:pPr>
          </w:p>
        </w:tc>
        <w:tc>
          <w:tcPr>
            <w:tcW w:w="2700" w:type="dxa"/>
          </w:tcPr>
          <w:p w14:paraId="006E9568" w14:textId="77777777" w:rsidR="0084589A" w:rsidRPr="00D30BC1" w:rsidRDefault="0084589A" w:rsidP="001642F3">
            <w:pPr>
              <w:autoSpaceDE w:val="0"/>
              <w:autoSpaceDN w:val="0"/>
              <w:adjustRightInd w:val="0"/>
              <w:rPr>
                <w:rFonts w:ascii="Arial" w:hAnsi="Arial" w:cs="Arial"/>
                <w:sz w:val="18"/>
                <w:szCs w:val="18"/>
              </w:rPr>
            </w:pPr>
            <w:r w:rsidRPr="00D30BC1">
              <w:rPr>
                <w:rFonts w:ascii="Arial" w:hAnsi="Arial" w:cs="Arial"/>
                <w:sz w:val="18"/>
                <w:szCs w:val="18"/>
              </w:rPr>
              <w:t>Developed</w:t>
            </w:r>
            <w:r w:rsidRPr="00D30BC1">
              <w:rPr>
                <w:rFonts w:ascii="Arial" w:hAnsi="Arial" w:cs="Arial"/>
                <w:sz w:val="18"/>
              </w:rPr>
              <w:t xml:space="preserve"> </w:t>
            </w:r>
            <w:r>
              <w:rPr>
                <w:rFonts w:ascii="Arial" w:hAnsi="Arial" w:cs="Arial"/>
                <w:sz w:val="18"/>
              </w:rPr>
              <w:t>Capacity</w:t>
            </w:r>
            <w:r w:rsidRPr="00D30BC1">
              <w:rPr>
                <w:rFonts w:ascii="Arial" w:hAnsi="Arial" w:cs="Arial"/>
                <w:sz w:val="18"/>
              </w:rPr>
              <w:t xml:space="preserve"> </w:t>
            </w:r>
            <w:r>
              <w:rPr>
                <w:rFonts w:ascii="Arial" w:hAnsi="Arial" w:cs="Arial"/>
                <w:sz w:val="18"/>
              </w:rPr>
              <w:t>is</w:t>
            </w:r>
            <w:r w:rsidRPr="00D30BC1">
              <w:rPr>
                <w:rFonts w:ascii="Arial" w:hAnsi="Arial" w:cs="Arial"/>
                <w:sz w:val="18"/>
              </w:rPr>
              <w:t xml:space="preserve"> expected quantities to be </w:t>
            </w:r>
            <w:r>
              <w:rPr>
                <w:rFonts w:ascii="Arial" w:hAnsi="Arial" w:cs="Arial"/>
                <w:sz w:val="18"/>
              </w:rPr>
              <w:t>stored</w:t>
            </w:r>
            <w:r w:rsidRPr="00D30BC1">
              <w:rPr>
                <w:rFonts w:ascii="Arial" w:hAnsi="Arial" w:cs="Arial"/>
                <w:sz w:val="18"/>
              </w:rPr>
              <w:t xml:space="preserve"> from existing wells and facilities.</w:t>
            </w:r>
          </w:p>
        </w:tc>
        <w:tc>
          <w:tcPr>
            <w:tcW w:w="5580" w:type="dxa"/>
          </w:tcPr>
          <w:p w14:paraId="2D667174" w14:textId="77777777" w:rsidR="0084589A" w:rsidRPr="00D30BC1" w:rsidRDefault="0084589A" w:rsidP="001642F3">
            <w:pPr>
              <w:spacing w:before="60" w:after="60"/>
              <w:jc w:val="both"/>
              <w:rPr>
                <w:rFonts w:ascii="Arial" w:eastAsia="Arial Unicode MS" w:hAnsi="Arial" w:cs="Arial"/>
                <w:sz w:val="18"/>
                <w:szCs w:val="18"/>
              </w:rPr>
            </w:pPr>
            <w:r>
              <w:rPr>
                <w:rFonts w:ascii="Arial" w:hAnsi="Arial" w:cs="Arial"/>
                <w:sz w:val="18"/>
              </w:rPr>
              <w:t>Capacity is</w:t>
            </w:r>
            <w:r w:rsidRPr="00D30BC1">
              <w:rPr>
                <w:rFonts w:ascii="Arial" w:hAnsi="Arial" w:cs="Arial"/>
                <w:sz w:val="18"/>
              </w:rPr>
              <w:t xml:space="preserve"> considered developed only after the necessary equipment has been installed, or when the costs to do so are relatively minor compared to the cost of a well. Where required facilities become unavailable, it may be necessary to reclassify Developed </w:t>
            </w:r>
            <w:r>
              <w:rPr>
                <w:rFonts w:ascii="Arial" w:hAnsi="Arial" w:cs="Arial"/>
                <w:sz w:val="18"/>
              </w:rPr>
              <w:t>Capacity</w:t>
            </w:r>
            <w:r w:rsidRPr="00D30BC1">
              <w:rPr>
                <w:rFonts w:ascii="Arial" w:hAnsi="Arial" w:cs="Arial"/>
                <w:sz w:val="18"/>
              </w:rPr>
              <w:t xml:space="preserve"> as Undeveloped</w:t>
            </w:r>
            <w:r w:rsidRPr="00D30BC1">
              <w:rPr>
                <w:rFonts w:ascii="Arial" w:eastAsia="Arial Unicode MS" w:hAnsi="Arial" w:cs="Arial"/>
                <w:sz w:val="18"/>
                <w:szCs w:val="18"/>
              </w:rPr>
              <w:t xml:space="preserve">.  </w:t>
            </w:r>
            <w:r w:rsidRPr="00D30BC1">
              <w:rPr>
                <w:rFonts w:ascii="Arial" w:hAnsi="Arial" w:cs="Arial"/>
                <w:sz w:val="18"/>
              </w:rPr>
              <w:t xml:space="preserve">Developed </w:t>
            </w:r>
            <w:r>
              <w:rPr>
                <w:rFonts w:ascii="Arial" w:hAnsi="Arial" w:cs="Arial"/>
                <w:sz w:val="18"/>
              </w:rPr>
              <w:t>Capacity</w:t>
            </w:r>
            <w:r w:rsidRPr="00D30BC1">
              <w:rPr>
                <w:rFonts w:ascii="Arial" w:hAnsi="Arial" w:cs="Arial"/>
                <w:sz w:val="18"/>
              </w:rPr>
              <w:t xml:space="preserve"> may be further sub-classified as </w:t>
            </w:r>
            <w:r>
              <w:rPr>
                <w:rFonts w:ascii="Arial" w:hAnsi="Arial" w:cs="Arial"/>
                <w:sz w:val="18"/>
              </w:rPr>
              <w:t>Injecting</w:t>
            </w:r>
            <w:r w:rsidRPr="00D30BC1">
              <w:rPr>
                <w:rFonts w:ascii="Arial" w:hAnsi="Arial" w:cs="Arial"/>
                <w:sz w:val="18"/>
              </w:rPr>
              <w:t xml:space="preserve"> or Non-</w:t>
            </w:r>
            <w:r>
              <w:rPr>
                <w:rFonts w:ascii="Arial" w:hAnsi="Arial" w:cs="Arial"/>
                <w:sz w:val="18"/>
              </w:rPr>
              <w:t>Injecting</w:t>
            </w:r>
            <w:r w:rsidRPr="00D30BC1">
              <w:rPr>
                <w:rFonts w:ascii="Arial" w:hAnsi="Arial" w:cs="Arial"/>
                <w:sz w:val="18"/>
              </w:rPr>
              <w:t xml:space="preserve">. </w:t>
            </w:r>
            <w:r w:rsidRPr="00D30BC1">
              <w:rPr>
                <w:rFonts w:ascii="Arial" w:eastAsia="Arial Unicode MS" w:hAnsi="Arial" w:cs="Arial"/>
                <w:sz w:val="18"/>
                <w:szCs w:val="18"/>
              </w:rPr>
              <w:t xml:space="preserve">  </w:t>
            </w:r>
          </w:p>
        </w:tc>
      </w:tr>
      <w:tr w:rsidR="0084589A" w:rsidRPr="00D30BC1" w14:paraId="005262C4" w14:textId="77777777">
        <w:tc>
          <w:tcPr>
            <w:tcW w:w="1620" w:type="dxa"/>
          </w:tcPr>
          <w:p w14:paraId="035675B4" w14:textId="2C49305D" w:rsidR="0084589A" w:rsidRPr="00D30BC1" w:rsidRDefault="0084589A" w:rsidP="00D67BF1">
            <w:pPr>
              <w:spacing w:before="60" w:after="60"/>
              <w:jc w:val="both"/>
              <w:rPr>
                <w:rFonts w:ascii="Arial" w:eastAsia="Arial Unicode MS" w:hAnsi="Arial" w:cs="Arial"/>
                <w:sz w:val="18"/>
                <w:szCs w:val="18"/>
              </w:rPr>
            </w:pPr>
            <w:r w:rsidRPr="00D30BC1">
              <w:rPr>
                <w:rFonts w:ascii="Arial" w:eastAsia="Arial Unicode MS" w:hAnsi="Arial" w:cs="Arial"/>
                <w:sz w:val="18"/>
                <w:szCs w:val="18"/>
              </w:rPr>
              <w:t xml:space="preserve">Developed </w:t>
            </w:r>
            <w:r w:rsidR="00D67BF1">
              <w:rPr>
                <w:rFonts w:ascii="Arial" w:eastAsia="Arial Unicode MS" w:hAnsi="Arial" w:cs="Arial"/>
                <w:sz w:val="18"/>
                <w:szCs w:val="18"/>
              </w:rPr>
              <w:t>Injecting</w:t>
            </w:r>
            <w:r w:rsidRPr="00D30BC1">
              <w:rPr>
                <w:rFonts w:ascii="Arial" w:eastAsia="Arial Unicode MS" w:hAnsi="Arial" w:cs="Arial"/>
                <w:sz w:val="18"/>
                <w:szCs w:val="18"/>
              </w:rPr>
              <w:t xml:space="preserve"> </w:t>
            </w:r>
            <w:r>
              <w:rPr>
                <w:rFonts w:ascii="Arial" w:eastAsia="Arial Unicode MS" w:hAnsi="Arial" w:cs="Arial"/>
                <w:sz w:val="18"/>
                <w:szCs w:val="18"/>
              </w:rPr>
              <w:t xml:space="preserve"> Capacity</w:t>
            </w:r>
          </w:p>
        </w:tc>
        <w:tc>
          <w:tcPr>
            <w:tcW w:w="2700" w:type="dxa"/>
          </w:tcPr>
          <w:p w14:paraId="26EE2E8B" w14:textId="31BC2BFE" w:rsidR="0084589A" w:rsidRPr="00D30BC1" w:rsidRDefault="0084589A" w:rsidP="00D30BC1">
            <w:pPr>
              <w:autoSpaceDE w:val="0"/>
              <w:autoSpaceDN w:val="0"/>
              <w:adjustRightInd w:val="0"/>
              <w:rPr>
                <w:rFonts w:ascii="Arial" w:hAnsi="Arial" w:cs="Arial"/>
                <w:sz w:val="18"/>
              </w:rPr>
            </w:pPr>
            <w:r w:rsidRPr="00D30BC1">
              <w:rPr>
                <w:rStyle w:val="Strong"/>
                <w:rFonts w:ascii="Arial" w:hAnsi="Arial" w:cs="Arial"/>
                <w:b w:val="0"/>
                <w:bCs w:val="0"/>
                <w:sz w:val="18"/>
              </w:rPr>
              <w:t xml:space="preserve">Developed </w:t>
            </w:r>
            <w:r w:rsidR="00D67BF1">
              <w:rPr>
                <w:rStyle w:val="Strong"/>
                <w:rFonts w:ascii="Arial" w:hAnsi="Arial" w:cs="Arial"/>
                <w:b w:val="0"/>
                <w:bCs w:val="0"/>
                <w:sz w:val="18"/>
              </w:rPr>
              <w:t>Injecting</w:t>
            </w:r>
            <w:r w:rsidRPr="00D30BC1">
              <w:rPr>
                <w:rStyle w:val="Strong"/>
                <w:rFonts w:ascii="Arial" w:hAnsi="Arial" w:cs="Arial"/>
                <w:b w:val="0"/>
                <w:bCs w:val="0"/>
                <w:sz w:val="18"/>
              </w:rPr>
              <w:t xml:space="preserve"> </w:t>
            </w:r>
            <w:r>
              <w:rPr>
                <w:rStyle w:val="Strong"/>
                <w:rFonts w:ascii="Arial" w:hAnsi="Arial" w:cs="Arial"/>
                <w:b w:val="0"/>
                <w:bCs w:val="0"/>
                <w:sz w:val="18"/>
              </w:rPr>
              <w:t>Capacity is</w:t>
            </w:r>
            <w:r w:rsidRPr="00D30BC1">
              <w:rPr>
                <w:rFonts w:ascii="Arial" w:hAnsi="Arial" w:cs="Arial"/>
                <w:sz w:val="18"/>
              </w:rPr>
              <w:t xml:space="preserve"> expected to be </w:t>
            </w:r>
            <w:r>
              <w:rPr>
                <w:rFonts w:ascii="Arial" w:hAnsi="Arial" w:cs="Arial"/>
                <w:sz w:val="18"/>
              </w:rPr>
              <w:t>stored</w:t>
            </w:r>
            <w:r w:rsidRPr="00D30BC1">
              <w:rPr>
                <w:rFonts w:ascii="Arial" w:hAnsi="Arial" w:cs="Arial"/>
                <w:sz w:val="18"/>
              </w:rPr>
              <w:t xml:space="preserve"> from completion intervals that are open and </w:t>
            </w:r>
            <w:r>
              <w:rPr>
                <w:rFonts w:ascii="Arial" w:hAnsi="Arial" w:cs="Arial"/>
                <w:sz w:val="18"/>
              </w:rPr>
              <w:t>injecting</w:t>
            </w:r>
            <w:r w:rsidRPr="00D30BC1">
              <w:rPr>
                <w:rFonts w:ascii="Arial" w:hAnsi="Arial" w:cs="Arial"/>
                <w:sz w:val="18"/>
              </w:rPr>
              <w:t xml:space="preserve"> at the time of the estimate.</w:t>
            </w:r>
          </w:p>
          <w:p w14:paraId="1A7C4E29" w14:textId="77777777" w:rsidR="0084589A" w:rsidRPr="00D30BC1" w:rsidRDefault="0084589A" w:rsidP="00D30BC1">
            <w:pPr>
              <w:autoSpaceDE w:val="0"/>
              <w:autoSpaceDN w:val="0"/>
              <w:adjustRightInd w:val="0"/>
              <w:jc w:val="both"/>
              <w:rPr>
                <w:rFonts w:ascii="Arial" w:eastAsia="Arial Unicode MS" w:hAnsi="Arial" w:cs="Arial"/>
                <w:sz w:val="18"/>
                <w:szCs w:val="18"/>
              </w:rPr>
            </w:pPr>
          </w:p>
        </w:tc>
        <w:tc>
          <w:tcPr>
            <w:tcW w:w="5580" w:type="dxa"/>
          </w:tcPr>
          <w:p w14:paraId="2DCF2F32" w14:textId="3F355231" w:rsidR="0084589A" w:rsidRPr="00D30BC1" w:rsidRDefault="0084589A" w:rsidP="001642F3">
            <w:pPr>
              <w:spacing w:before="60" w:after="60"/>
              <w:jc w:val="both"/>
              <w:rPr>
                <w:rFonts w:ascii="Arial" w:eastAsia="Arial Unicode MS" w:hAnsi="Arial" w:cs="Arial"/>
                <w:sz w:val="18"/>
                <w:szCs w:val="18"/>
              </w:rPr>
            </w:pPr>
            <w:r w:rsidRPr="00D30BC1">
              <w:rPr>
                <w:rFonts w:ascii="Arial" w:hAnsi="Arial" w:cs="Arial"/>
                <w:sz w:val="18"/>
              </w:rPr>
              <w:t xml:space="preserve">Improved </w:t>
            </w:r>
            <w:r>
              <w:rPr>
                <w:rFonts w:ascii="Arial" w:hAnsi="Arial" w:cs="Arial"/>
                <w:sz w:val="18"/>
              </w:rPr>
              <w:t>storage capacity</w:t>
            </w:r>
            <w:r w:rsidRPr="00D30BC1">
              <w:rPr>
                <w:rFonts w:ascii="Arial" w:hAnsi="Arial" w:cs="Arial"/>
                <w:sz w:val="18"/>
              </w:rPr>
              <w:t xml:space="preserve"> </w:t>
            </w:r>
            <w:r>
              <w:rPr>
                <w:rFonts w:ascii="Arial" w:hAnsi="Arial" w:cs="Arial"/>
                <w:sz w:val="18"/>
              </w:rPr>
              <w:t>is</w:t>
            </w:r>
            <w:r w:rsidR="00D67BF1">
              <w:rPr>
                <w:rFonts w:ascii="Arial" w:hAnsi="Arial" w:cs="Arial"/>
                <w:sz w:val="18"/>
              </w:rPr>
              <w:t xml:space="preserve"> classified as “</w:t>
            </w:r>
            <w:r>
              <w:rPr>
                <w:rFonts w:ascii="Arial" w:hAnsi="Arial" w:cs="Arial"/>
                <w:sz w:val="18"/>
              </w:rPr>
              <w:t>injecting</w:t>
            </w:r>
            <w:r w:rsidR="00D67BF1">
              <w:rPr>
                <w:rFonts w:ascii="Arial" w:hAnsi="Arial" w:cs="Arial"/>
                <w:sz w:val="18"/>
              </w:rPr>
              <w:t>”</w:t>
            </w:r>
            <w:r w:rsidRPr="00D30BC1">
              <w:rPr>
                <w:rFonts w:ascii="Arial" w:hAnsi="Arial" w:cs="Arial"/>
                <w:sz w:val="18"/>
              </w:rPr>
              <w:t xml:space="preserve"> only after the improved </w:t>
            </w:r>
            <w:r>
              <w:rPr>
                <w:rFonts w:ascii="Arial" w:hAnsi="Arial" w:cs="Arial"/>
                <w:sz w:val="18"/>
              </w:rPr>
              <w:t>storage</w:t>
            </w:r>
            <w:r w:rsidRPr="00D30BC1">
              <w:rPr>
                <w:rFonts w:ascii="Arial" w:hAnsi="Arial" w:cs="Arial"/>
                <w:sz w:val="18"/>
              </w:rPr>
              <w:t xml:space="preserve"> project is in operation. </w:t>
            </w:r>
            <w:r w:rsidR="00D67BF1">
              <w:rPr>
                <w:rFonts w:ascii="Arial" w:hAnsi="Arial" w:cs="Arial"/>
                <w:sz w:val="18"/>
              </w:rPr>
              <w:t>s</w:t>
            </w:r>
          </w:p>
        </w:tc>
      </w:tr>
      <w:tr w:rsidR="0084589A" w:rsidRPr="00D30BC1" w14:paraId="37BE542A" w14:textId="77777777">
        <w:tc>
          <w:tcPr>
            <w:tcW w:w="1620" w:type="dxa"/>
          </w:tcPr>
          <w:p w14:paraId="73A3A542" w14:textId="0B4C046C" w:rsidR="0084589A" w:rsidRPr="00D30BC1" w:rsidRDefault="00D67BF1" w:rsidP="00D67BF1">
            <w:pPr>
              <w:spacing w:before="60" w:after="60"/>
              <w:rPr>
                <w:rFonts w:ascii="Arial" w:eastAsia="Arial Unicode MS" w:hAnsi="Arial" w:cs="Arial"/>
                <w:sz w:val="18"/>
                <w:szCs w:val="18"/>
              </w:rPr>
            </w:pPr>
            <w:r>
              <w:rPr>
                <w:rFonts w:ascii="Arial" w:eastAsia="Arial Unicode MS" w:hAnsi="Arial" w:cs="Arial"/>
                <w:sz w:val="18"/>
                <w:szCs w:val="18"/>
              </w:rPr>
              <w:t>Developed Non-Inject</w:t>
            </w:r>
            <w:r w:rsidR="0084589A" w:rsidRPr="00D30BC1">
              <w:rPr>
                <w:rFonts w:ascii="Arial" w:eastAsia="Arial Unicode MS" w:hAnsi="Arial" w:cs="Arial"/>
                <w:sz w:val="18"/>
                <w:szCs w:val="18"/>
              </w:rPr>
              <w:t xml:space="preserve">ing </w:t>
            </w:r>
            <w:r w:rsidR="0084589A">
              <w:rPr>
                <w:rFonts w:ascii="Arial" w:eastAsia="Arial Unicode MS" w:hAnsi="Arial" w:cs="Arial"/>
                <w:sz w:val="18"/>
                <w:szCs w:val="18"/>
              </w:rPr>
              <w:t xml:space="preserve"> Capacity</w:t>
            </w:r>
          </w:p>
        </w:tc>
        <w:tc>
          <w:tcPr>
            <w:tcW w:w="2700" w:type="dxa"/>
          </w:tcPr>
          <w:p w14:paraId="6807CDAF" w14:textId="77777777" w:rsidR="0084589A" w:rsidRPr="00D30BC1" w:rsidRDefault="0084589A" w:rsidP="001642F3">
            <w:pPr>
              <w:autoSpaceDE w:val="0"/>
              <w:autoSpaceDN w:val="0"/>
              <w:adjustRightInd w:val="0"/>
              <w:rPr>
                <w:rFonts w:ascii="Arial" w:eastAsia="Arial Unicode MS" w:hAnsi="Arial" w:cs="Arial"/>
                <w:sz w:val="18"/>
                <w:szCs w:val="18"/>
              </w:rPr>
            </w:pPr>
            <w:r w:rsidRPr="00D30BC1">
              <w:rPr>
                <w:rFonts w:ascii="Arial" w:hAnsi="Arial" w:cs="Arial"/>
                <w:sz w:val="18"/>
              </w:rPr>
              <w:t>Developed Non-</w:t>
            </w:r>
            <w:r>
              <w:rPr>
                <w:rFonts w:ascii="Arial" w:hAnsi="Arial" w:cs="Arial"/>
                <w:sz w:val="18"/>
              </w:rPr>
              <w:t>Injecting Capacity</w:t>
            </w:r>
            <w:r w:rsidRPr="00D30BC1">
              <w:rPr>
                <w:rFonts w:ascii="Arial" w:hAnsi="Arial" w:cs="Arial"/>
                <w:sz w:val="18"/>
              </w:rPr>
              <w:t xml:space="preserve"> include shut-in and behind-pipe </w:t>
            </w:r>
            <w:r>
              <w:rPr>
                <w:rFonts w:ascii="Arial" w:hAnsi="Arial" w:cs="Arial"/>
                <w:sz w:val="18"/>
              </w:rPr>
              <w:t>Capacity</w:t>
            </w:r>
            <w:r w:rsidRPr="00D30BC1">
              <w:rPr>
                <w:rFonts w:ascii="Arial" w:hAnsi="Arial" w:cs="Arial"/>
                <w:sz w:val="18"/>
              </w:rPr>
              <w:t>.</w:t>
            </w:r>
          </w:p>
        </w:tc>
        <w:tc>
          <w:tcPr>
            <w:tcW w:w="5580" w:type="dxa"/>
          </w:tcPr>
          <w:p w14:paraId="0E6AB2C8" w14:textId="4A1FD9A7" w:rsidR="0084589A" w:rsidRPr="00D30BC1" w:rsidRDefault="0084589A" w:rsidP="00D30BC1">
            <w:pPr>
              <w:jc w:val="both"/>
              <w:rPr>
                <w:rFonts w:ascii="Arial" w:hAnsi="Arial" w:cs="Arial"/>
                <w:sz w:val="18"/>
              </w:rPr>
            </w:pPr>
            <w:r w:rsidRPr="00D30BC1">
              <w:rPr>
                <w:rFonts w:ascii="Arial" w:hAnsi="Arial" w:cs="Arial"/>
                <w:sz w:val="18"/>
              </w:rPr>
              <w:t xml:space="preserve">Shut-in </w:t>
            </w:r>
            <w:r>
              <w:rPr>
                <w:rFonts w:ascii="Arial" w:hAnsi="Arial" w:cs="Arial"/>
                <w:sz w:val="18"/>
              </w:rPr>
              <w:t>Capacity</w:t>
            </w:r>
            <w:r w:rsidRPr="00D30BC1">
              <w:rPr>
                <w:rFonts w:ascii="Arial" w:hAnsi="Arial" w:cs="Arial"/>
                <w:sz w:val="18"/>
              </w:rPr>
              <w:t xml:space="preserve"> </w:t>
            </w:r>
            <w:r w:rsidR="00DD0DD7">
              <w:rPr>
                <w:rFonts w:ascii="Arial" w:hAnsi="Arial" w:cs="Arial"/>
                <w:sz w:val="18"/>
              </w:rPr>
              <w:t>is</w:t>
            </w:r>
            <w:r w:rsidR="00DD0DD7" w:rsidRPr="00D30BC1">
              <w:rPr>
                <w:rFonts w:ascii="Arial" w:hAnsi="Arial" w:cs="Arial"/>
                <w:sz w:val="18"/>
              </w:rPr>
              <w:t xml:space="preserve"> </w:t>
            </w:r>
            <w:r w:rsidRPr="00D30BC1">
              <w:rPr>
                <w:rFonts w:ascii="Arial" w:hAnsi="Arial" w:cs="Arial"/>
                <w:sz w:val="18"/>
              </w:rPr>
              <w:t xml:space="preserve">expected to be </w:t>
            </w:r>
            <w:r>
              <w:rPr>
                <w:rFonts w:ascii="Arial" w:hAnsi="Arial" w:cs="Arial"/>
                <w:sz w:val="18"/>
              </w:rPr>
              <w:t>stored</w:t>
            </w:r>
            <w:r w:rsidRPr="00D30BC1">
              <w:rPr>
                <w:rFonts w:ascii="Arial" w:hAnsi="Arial" w:cs="Arial"/>
                <w:sz w:val="18"/>
              </w:rPr>
              <w:t xml:space="preserve"> from (1) completion intervals which are open at the time of the estimate but which have not yet started </w:t>
            </w:r>
            <w:r>
              <w:rPr>
                <w:rFonts w:ascii="Arial" w:hAnsi="Arial" w:cs="Arial"/>
                <w:sz w:val="18"/>
              </w:rPr>
              <w:t>injecting</w:t>
            </w:r>
            <w:r w:rsidRPr="00D30BC1">
              <w:rPr>
                <w:rFonts w:ascii="Arial" w:hAnsi="Arial" w:cs="Arial"/>
                <w:sz w:val="18"/>
              </w:rPr>
              <w:t xml:space="preserve">, (2) wells which were shut-in for market conditions or pipeline connections, or (3) wells not capable of </w:t>
            </w:r>
            <w:r>
              <w:rPr>
                <w:rFonts w:ascii="Arial" w:hAnsi="Arial" w:cs="Arial"/>
                <w:sz w:val="18"/>
              </w:rPr>
              <w:t>injection</w:t>
            </w:r>
            <w:r w:rsidRPr="00D30BC1">
              <w:rPr>
                <w:rFonts w:ascii="Arial" w:hAnsi="Arial" w:cs="Arial"/>
                <w:sz w:val="18"/>
              </w:rPr>
              <w:t xml:space="preserve"> for mechanical reasons. Behind-pipe </w:t>
            </w:r>
            <w:r>
              <w:rPr>
                <w:rFonts w:ascii="Arial" w:hAnsi="Arial" w:cs="Arial"/>
                <w:sz w:val="18"/>
              </w:rPr>
              <w:t>Capacity is</w:t>
            </w:r>
            <w:r w:rsidRPr="00D30BC1">
              <w:rPr>
                <w:rFonts w:ascii="Arial" w:hAnsi="Arial" w:cs="Arial"/>
                <w:sz w:val="18"/>
              </w:rPr>
              <w:t xml:space="preserve"> expected to be </w:t>
            </w:r>
            <w:r>
              <w:rPr>
                <w:rFonts w:ascii="Arial" w:hAnsi="Arial" w:cs="Arial"/>
                <w:sz w:val="18"/>
              </w:rPr>
              <w:t>stored</w:t>
            </w:r>
            <w:r w:rsidRPr="00D30BC1">
              <w:rPr>
                <w:rFonts w:ascii="Arial" w:hAnsi="Arial" w:cs="Arial"/>
                <w:sz w:val="18"/>
              </w:rPr>
              <w:t xml:space="preserve"> </w:t>
            </w:r>
            <w:r>
              <w:rPr>
                <w:rFonts w:ascii="Arial" w:hAnsi="Arial" w:cs="Arial"/>
                <w:sz w:val="18"/>
              </w:rPr>
              <w:t>in</w:t>
            </w:r>
            <w:r w:rsidRPr="00D30BC1">
              <w:rPr>
                <w:rFonts w:ascii="Arial" w:hAnsi="Arial" w:cs="Arial"/>
                <w:sz w:val="18"/>
              </w:rPr>
              <w:t xml:space="preserve"> </w:t>
            </w:r>
            <w:r>
              <w:rPr>
                <w:rFonts w:ascii="Arial" w:hAnsi="Arial" w:cs="Arial"/>
                <w:sz w:val="18"/>
              </w:rPr>
              <w:t>geologic formations</w:t>
            </w:r>
            <w:r w:rsidRPr="00D30BC1">
              <w:rPr>
                <w:rFonts w:ascii="Arial" w:hAnsi="Arial" w:cs="Arial"/>
                <w:sz w:val="18"/>
              </w:rPr>
              <w:t xml:space="preserve"> in existing wells which will require additional completion work or future re-completion prior to start of </w:t>
            </w:r>
            <w:r>
              <w:rPr>
                <w:rFonts w:ascii="Arial" w:hAnsi="Arial" w:cs="Arial"/>
                <w:sz w:val="18"/>
              </w:rPr>
              <w:t>injection</w:t>
            </w:r>
            <w:r w:rsidRPr="00D30BC1">
              <w:rPr>
                <w:rFonts w:ascii="Arial" w:hAnsi="Arial" w:cs="Arial"/>
                <w:sz w:val="18"/>
              </w:rPr>
              <w:t xml:space="preserve">. </w:t>
            </w:r>
          </w:p>
          <w:p w14:paraId="2E594DF7" w14:textId="77777777" w:rsidR="0084589A" w:rsidRPr="00D30BC1" w:rsidRDefault="0084589A" w:rsidP="00D30BC1">
            <w:pPr>
              <w:jc w:val="both"/>
              <w:rPr>
                <w:rFonts w:ascii="Arial" w:hAnsi="Arial" w:cs="Arial"/>
                <w:sz w:val="18"/>
              </w:rPr>
            </w:pPr>
          </w:p>
          <w:p w14:paraId="3310D61F" w14:textId="77777777" w:rsidR="0084589A" w:rsidRPr="00D30BC1" w:rsidRDefault="0084589A" w:rsidP="00D30BC1">
            <w:pPr>
              <w:jc w:val="both"/>
              <w:rPr>
                <w:rFonts w:ascii="Arial" w:hAnsi="Arial" w:cs="Arial"/>
                <w:sz w:val="18"/>
              </w:rPr>
            </w:pPr>
            <w:r w:rsidRPr="00D30BC1">
              <w:rPr>
                <w:rFonts w:ascii="Arial" w:hAnsi="Arial" w:cs="Arial"/>
                <w:sz w:val="18"/>
              </w:rPr>
              <w:t xml:space="preserve">In all cases, </w:t>
            </w:r>
            <w:r>
              <w:rPr>
                <w:rFonts w:ascii="Arial" w:hAnsi="Arial" w:cs="Arial"/>
                <w:sz w:val="18"/>
              </w:rPr>
              <w:t>injection</w:t>
            </w:r>
            <w:r w:rsidRPr="00D30BC1">
              <w:rPr>
                <w:rFonts w:ascii="Arial" w:hAnsi="Arial" w:cs="Arial"/>
                <w:sz w:val="18"/>
              </w:rPr>
              <w:t xml:space="preserve"> can be initiated or restored with relatively low expenditure compared to the cost of drilling a new well.</w:t>
            </w:r>
          </w:p>
          <w:p w14:paraId="27F3317D" w14:textId="77777777" w:rsidR="0084589A" w:rsidRPr="00D30BC1" w:rsidRDefault="0084589A" w:rsidP="00D30BC1">
            <w:pPr>
              <w:spacing w:before="60" w:after="60"/>
              <w:jc w:val="both"/>
              <w:rPr>
                <w:rFonts w:ascii="Arial" w:eastAsia="Arial Unicode MS" w:hAnsi="Arial" w:cs="Arial"/>
                <w:sz w:val="18"/>
                <w:szCs w:val="18"/>
              </w:rPr>
            </w:pPr>
          </w:p>
        </w:tc>
      </w:tr>
      <w:tr w:rsidR="0084589A" w:rsidRPr="00D30BC1" w14:paraId="252AC7D9" w14:textId="77777777">
        <w:tc>
          <w:tcPr>
            <w:tcW w:w="1620" w:type="dxa"/>
          </w:tcPr>
          <w:p w14:paraId="1BAF9B3D" w14:textId="77777777" w:rsidR="0084589A" w:rsidRPr="00D30BC1" w:rsidRDefault="0084589A" w:rsidP="001642F3">
            <w:pPr>
              <w:spacing w:before="60" w:after="60"/>
              <w:jc w:val="both"/>
              <w:rPr>
                <w:rFonts w:ascii="Arial" w:eastAsia="Arial Unicode MS" w:hAnsi="Arial" w:cs="Arial"/>
                <w:b/>
                <w:bCs/>
                <w:sz w:val="22"/>
                <w:szCs w:val="18"/>
              </w:rPr>
            </w:pPr>
            <w:r w:rsidRPr="00D30BC1">
              <w:rPr>
                <w:rFonts w:ascii="Arial" w:eastAsia="Arial Unicode MS" w:hAnsi="Arial" w:cs="Arial"/>
                <w:b/>
                <w:bCs/>
                <w:sz w:val="22"/>
                <w:szCs w:val="18"/>
              </w:rPr>
              <w:t xml:space="preserve">Undeveloped </w:t>
            </w:r>
            <w:r>
              <w:rPr>
                <w:rFonts w:ascii="Arial" w:eastAsia="Arial Unicode MS" w:hAnsi="Arial" w:cs="Arial"/>
                <w:b/>
                <w:bCs/>
                <w:sz w:val="22"/>
                <w:szCs w:val="18"/>
              </w:rPr>
              <w:t xml:space="preserve"> Capacity</w:t>
            </w:r>
          </w:p>
        </w:tc>
        <w:tc>
          <w:tcPr>
            <w:tcW w:w="2700" w:type="dxa"/>
          </w:tcPr>
          <w:p w14:paraId="3AE32DAE" w14:textId="77777777" w:rsidR="0084589A" w:rsidRPr="00D30BC1" w:rsidRDefault="0084589A" w:rsidP="001642F3">
            <w:pPr>
              <w:autoSpaceDE w:val="0"/>
              <w:autoSpaceDN w:val="0"/>
              <w:adjustRightInd w:val="0"/>
              <w:rPr>
                <w:rFonts w:ascii="Arial" w:eastAsia="Arial Unicode MS" w:hAnsi="Arial" w:cs="Arial"/>
                <w:sz w:val="18"/>
                <w:szCs w:val="18"/>
              </w:rPr>
            </w:pPr>
            <w:r w:rsidRPr="00D30BC1">
              <w:rPr>
                <w:rFonts w:ascii="Arial" w:hAnsi="Arial" w:cs="Arial"/>
                <w:sz w:val="18"/>
              </w:rPr>
              <w:t xml:space="preserve">Undeveloped </w:t>
            </w:r>
            <w:r>
              <w:rPr>
                <w:rFonts w:ascii="Arial" w:hAnsi="Arial" w:cs="Arial"/>
                <w:sz w:val="18"/>
              </w:rPr>
              <w:t>Capacity is</w:t>
            </w:r>
            <w:r w:rsidRPr="00D30BC1">
              <w:rPr>
                <w:rFonts w:ascii="Arial" w:hAnsi="Arial" w:cs="Arial"/>
                <w:sz w:val="18"/>
              </w:rPr>
              <w:t xml:space="preserve"> </w:t>
            </w:r>
            <w:r>
              <w:rPr>
                <w:rFonts w:ascii="Arial" w:hAnsi="Arial" w:cs="Arial"/>
                <w:sz w:val="18"/>
              </w:rPr>
              <w:t xml:space="preserve">the </w:t>
            </w:r>
            <w:r w:rsidRPr="00D30BC1">
              <w:rPr>
                <w:rFonts w:ascii="Arial" w:hAnsi="Arial" w:cs="Arial"/>
                <w:sz w:val="18"/>
              </w:rPr>
              <w:t>quantit</w:t>
            </w:r>
            <w:r>
              <w:rPr>
                <w:rFonts w:ascii="Arial" w:hAnsi="Arial" w:cs="Arial"/>
                <w:sz w:val="18"/>
              </w:rPr>
              <w:t>y</w:t>
            </w:r>
            <w:r w:rsidRPr="00D30BC1">
              <w:rPr>
                <w:rFonts w:ascii="Arial" w:hAnsi="Arial" w:cs="Arial"/>
                <w:sz w:val="18"/>
              </w:rPr>
              <w:t xml:space="preserve"> expected to be </w:t>
            </w:r>
            <w:r>
              <w:rPr>
                <w:rFonts w:ascii="Arial" w:hAnsi="Arial" w:cs="Arial"/>
                <w:sz w:val="18"/>
              </w:rPr>
              <w:t>stored</w:t>
            </w:r>
            <w:r w:rsidRPr="00D30BC1">
              <w:rPr>
                <w:rFonts w:ascii="Arial" w:hAnsi="Arial" w:cs="Arial"/>
                <w:sz w:val="18"/>
              </w:rPr>
              <w:t xml:space="preserve"> through future investments:</w:t>
            </w:r>
          </w:p>
        </w:tc>
        <w:tc>
          <w:tcPr>
            <w:tcW w:w="5580" w:type="dxa"/>
          </w:tcPr>
          <w:p w14:paraId="385C40BB" w14:textId="77777777" w:rsidR="0084589A" w:rsidRPr="00D30BC1" w:rsidRDefault="0084589A" w:rsidP="00D30BC1">
            <w:pPr>
              <w:spacing w:before="60" w:after="60"/>
              <w:jc w:val="both"/>
              <w:rPr>
                <w:rFonts w:ascii="Arial" w:hAnsi="Arial" w:cs="Arial"/>
                <w:sz w:val="18"/>
              </w:rPr>
            </w:pPr>
            <w:r w:rsidRPr="00D30BC1">
              <w:rPr>
                <w:rFonts w:ascii="Arial" w:hAnsi="Arial" w:cs="Arial"/>
                <w:sz w:val="18"/>
              </w:rPr>
              <w:t xml:space="preserve">(1) from new wells on undrilled acreage in known </w:t>
            </w:r>
            <w:r>
              <w:rPr>
                <w:rFonts w:ascii="Arial" w:hAnsi="Arial" w:cs="Arial"/>
                <w:sz w:val="18"/>
              </w:rPr>
              <w:t>geologic formations</w:t>
            </w:r>
            <w:r w:rsidRPr="00D30BC1">
              <w:rPr>
                <w:rFonts w:ascii="Arial" w:hAnsi="Arial" w:cs="Arial"/>
                <w:sz w:val="18"/>
              </w:rPr>
              <w:t xml:space="preserve">, (2) from deepening existing wells to a different (but known) </w:t>
            </w:r>
            <w:r>
              <w:rPr>
                <w:rFonts w:ascii="Arial" w:hAnsi="Arial" w:cs="Arial"/>
                <w:sz w:val="18"/>
              </w:rPr>
              <w:t>geologic formations</w:t>
            </w:r>
            <w:r w:rsidRPr="00D30BC1">
              <w:rPr>
                <w:rFonts w:ascii="Arial" w:hAnsi="Arial" w:cs="Arial"/>
                <w:sz w:val="18"/>
              </w:rPr>
              <w:t xml:space="preserve">, (3) from infill wells that will increase </w:t>
            </w:r>
            <w:r>
              <w:rPr>
                <w:rFonts w:ascii="Arial" w:hAnsi="Arial" w:cs="Arial"/>
                <w:sz w:val="18"/>
              </w:rPr>
              <w:t>storage</w:t>
            </w:r>
            <w:r w:rsidRPr="00D30BC1">
              <w:rPr>
                <w:rFonts w:ascii="Arial" w:hAnsi="Arial" w:cs="Arial"/>
                <w:sz w:val="18"/>
              </w:rPr>
              <w:t xml:space="preserve">, or (4) where a relatively large expenditure (e.g. when compared to the cost of drilling a new well) is required to (a) recomplete an existing well or (b) install </w:t>
            </w:r>
            <w:r>
              <w:rPr>
                <w:rFonts w:ascii="Arial" w:hAnsi="Arial" w:cs="Arial"/>
                <w:sz w:val="18"/>
              </w:rPr>
              <w:t>injection</w:t>
            </w:r>
            <w:r w:rsidRPr="00D30BC1">
              <w:rPr>
                <w:rFonts w:ascii="Arial" w:hAnsi="Arial" w:cs="Arial"/>
                <w:sz w:val="18"/>
              </w:rPr>
              <w:t xml:space="preserve"> or transportation facilities for primary or improved </w:t>
            </w:r>
            <w:r>
              <w:rPr>
                <w:rFonts w:ascii="Arial" w:hAnsi="Arial" w:cs="Arial"/>
                <w:sz w:val="18"/>
              </w:rPr>
              <w:t>storage</w:t>
            </w:r>
            <w:r w:rsidRPr="00D30BC1">
              <w:rPr>
                <w:rFonts w:ascii="Arial" w:hAnsi="Arial" w:cs="Arial"/>
                <w:sz w:val="18"/>
              </w:rPr>
              <w:t xml:space="preserve"> projects.  </w:t>
            </w:r>
          </w:p>
          <w:p w14:paraId="462C1B94" w14:textId="77777777" w:rsidR="0084589A" w:rsidRPr="00D30BC1" w:rsidRDefault="0084589A" w:rsidP="00D30BC1">
            <w:pPr>
              <w:spacing w:before="60" w:after="60"/>
              <w:jc w:val="both"/>
              <w:rPr>
                <w:rFonts w:ascii="Arial" w:eastAsia="Arial Unicode MS" w:hAnsi="Arial" w:cs="Arial"/>
                <w:sz w:val="18"/>
                <w:szCs w:val="18"/>
              </w:rPr>
            </w:pPr>
          </w:p>
        </w:tc>
      </w:tr>
    </w:tbl>
    <w:p w14:paraId="75418374" w14:textId="77777777" w:rsidR="0084589A" w:rsidRPr="00D30BC1" w:rsidRDefault="0084589A" w:rsidP="00D30BC1">
      <w:pPr>
        <w:pStyle w:val="Title"/>
        <w:ind w:right="-482"/>
        <w:jc w:val="left"/>
        <w:rPr>
          <w:lang w:val="en-CA"/>
        </w:rPr>
      </w:pPr>
    </w:p>
    <w:p w14:paraId="6D5CFF1C" w14:textId="77777777" w:rsidR="0084589A" w:rsidRPr="00D30BC1" w:rsidRDefault="0084589A" w:rsidP="00D30BC1">
      <w:pPr>
        <w:pStyle w:val="Title"/>
        <w:ind w:right="-482"/>
        <w:rPr>
          <w:sz w:val="16"/>
          <w:lang w:val="en-CA"/>
        </w:rPr>
      </w:pPr>
      <w:r w:rsidRPr="00D30BC1">
        <w:rPr>
          <w:lang w:val="en-CA"/>
        </w:rPr>
        <w:br w:type="page"/>
      </w:r>
      <w:r w:rsidRPr="00D30BC1">
        <w:rPr>
          <w:sz w:val="28"/>
          <w:lang w:val="en-CA"/>
        </w:rPr>
        <w:t xml:space="preserve">Table 3: </w:t>
      </w:r>
      <w:r>
        <w:rPr>
          <w:sz w:val="28"/>
          <w:lang w:val="en-CA"/>
        </w:rPr>
        <w:t>Capacity</w:t>
      </w:r>
      <w:r w:rsidRPr="00D30BC1">
        <w:rPr>
          <w:sz w:val="28"/>
          <w:lang w:val="en-CA"/>
        </w:rPr>
        <w:t xml:space="preserve"> Category Definitions and Guidelines </w:t>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2700"/>
        <w:gridCol w:w="5580"/>
      </w:tblGrid>
      <w:tr w:rsidR="0084589A" w:rsidRPr="00D30BC1" w14:paraId="553578D8" w14:textId="77777777">
        <w:trPr>
          <w:trHeight w:val="246"/>
        </w:trPr>
        <w:tc>
          <w:tcPr>
            <w:tcW w:w="1620" w:type="dxa"/>
          </w:tcPr>
          <w:p w14:paraId="23B3CCAF" w14:textId="77777777" w:rsidR="0084589A" w:rsidRPr="00D30BC1" w:rsidRDefault="0084589A" w:rsidP="00D30BC1">
            <w:pPr>
              <w:spacing w:before="60" w:after="60"/>
              <w:jc w:val="center"/>
              <w:rPr>
                <w:rFonts w:ascii="Arial" w:eastAsia="Arial Unicode MS" w:hAnsi="Arial" w:cs="Arial"/>
                <w:b/>
                <w:bCs/>
                <w:sz w:val="20"/>
                <w:szCs w:val="18"/>
              </w:rPr>
            </w:pPr>
            <w:r w:rsidRPr="00D30BC1">
              <w:rPr>
                <w:rFonts w:ascii="Arial" w:eastAsia="Arial Unicode MS" w:hAnsi="Arial" w:cs="Arial"/>
                <w:b/>
                <w:bCs/>
                <w:sz w:val="20"/>
                <w:szCs w:val="18"/>
              </w:rPr>
              <w:t>Category</w:t>
            </w:r>
          </w:p>
        </w:tc>
        <w:tc>
          <w:tcPr>
            <w:tcW w:w="2700" w:type="dxa"/>
            <w:vAlign w:val="center"/>
          </w:tcPr>
          <w:p w14:paraId="43C024A0" w14:textId="77777777" w:rsidR="0084589A" w:rsidRPr="00D30BC1" w:rsidRDefault="0084589A" w:rsidP="00D30BC1">
            <w:pPr>
              <w:pStyle w:val="Heading9"/>
            </w:pPr>
            <w:r w:rsidRPr="00D30BC1">
              <w:t>Definition</w:t>
            </w:r>
          </w:p>
        </w:tc>
        <w:tc>
          <w:tcPr>
            <w:tcW w:w="5580" w:type="dxa"/>
          </w:tcPr>
          <w:p w14:paraId="3D49D9CE" w14:textId="77777777" w:rsidR="0084589A" w:rsidRPr="00D30BC1" w:rsidRDefault="0084589A" w:rsidP="00D30BC1">
            <w:pPr>
              <w:spacing w:before="60" w:after="60"/>
              <w:jc w:val="center"/>
              <w:rPr>
                <w:rFonts w:ascii="Arial" w:hAnsi="Arial" w:cs="Arial"/>
                <w:b/>
                <w:bCs/>
                <w:sz w:val="20"/>
              </w:rPr>
            </w:pPr>
            <w:r w:rsidRPr="00D30BC1">
              <w:rPr>
                <w:rFonts w:ascii="Arial" w:hAnsi="Arial" w:cs="Arial"/>
                <w:b/>
                <w:bCs/>
                <w:sz w:val="20"/>
              </w:rPr>
              <w:t>Guidelines</w:t>
            </w:r>
          </w:p>
        </w:tc>
      </w:tr>
      <w:tr w:rsidR="0084589A" w:rsidRPr="00D30BC1" w14:paraId="734AFE65" w14:textId="77777777">
        <w:trPr>
          <w:trHeight w:val="7765"/>
        </w:trPr>
        <w:tc>
          <w:tcPr>
            <w:tcW w:w="1620" w:type="dxa"/>
          </w:tcPr>
          <w:p w14:paraId="7F69DB78" w14:textId="77777777" w:rsidR="0084589A" w:rsidRPr="00D30BC1" w:rsidRDefault="0084589A" w:rsidP="00D30BC1">
            <w:pPr>
              <w:spacing w:before="60" w:after="60"/>
              <w:jc w:val="both"/>
              <w:rPr>
                <w:rFonts w:ascii="Arial" w:eastAsia="Arial Unicode MS" w:hAnsi="Arial" w:cs="Arial"/>
                <w:b/>
                <w:bCs/>
                <w:sz w:val="22"/>
                <w:szCs w:val="18"/>
              </w:rPr>
            </w:pPr>
            <w:r w:rsidRPr="00D30BC1">
              <w:rPr>
                <w:rFonts w:ascii="Arial" w:eastAsia="Arial Unicode MS" w:hAnsi="Arial" w:cs="Arial"/>
                <w:b/>
                <w:bCs/>
                <w:sz w:val="22"/>
                <w:szCs w:val="18"/>
              </w:rPr>
              <w:t xml:space="preserve">Proved </w:t>
            </w:r>
            <w:r>
              <w:rPr>
                <w:rFonts w:ascii="Arial" w:eastAsia="Arial Unicode MS" w:hAnsi="Arial" w:cs="Arial"/>
                <w:b/>
                <w:bCs/>
                <w:sz w:val="22"/>
                <w:szCs w:val="18"/>
              </w:rPr>
              <w:t>Capacity</w:t>
            </w:r>
            <w:r w:rsidRPr="00D30BC1">
              <w:rPr>
                <w:rFonts w:ascii="Arial" w:eastAsia="Arial Unicode MS" w:hAnsi="Arial" w:cs="Arial"/>
                <w:b/>
                <w:bCs/>
                <w:sz w:val="22"/>
                <w:szCs w:val="18"/>
              </w:rPr>
              <w:t xml:space="preserve"> </w:t>
            </w:r>
          </w:p>
          <w:p w14:paraId="1B15851B" w14:textId="77777777" w:rsidR="0084589A" w:rsidRPr="00D30BC1" w:rsidRDefault="0084589A" w:rsidP="00D30BC1">
            <w:pPr>
              <w:spacing w:before="60" w:after="60"/>
              <w:jc w:val="both"/>
              <w:rPr>
                <w:rFonts w:ascii="Arial" w:eastAsia="Arial Unicode MS" w:hAnsi="Arial" w:cs="Arial"/>
                <w:sz w:val="18"/>
                <w:szCs w:val="18"/>
              </w:rPr>
            </w:pPr>
          </w:p>
        </w:tc>
        <w:tc>
          <w:tcPr>
            <w:tcW w:w="2700" w:type="dxa"/>
          </w:tcPr>
          <w:p w14:paraId="23A00FB0" w14:textId="77777777" w:rsidR="0084589A" w:rsidRPr="00D30BC1" w:rsidRDefault="0084589A" w:rsidP="001642F3">
            <w:pPr>
              <w:pStyle w:val="CommentText"/>
              <w:autoSpaceDE w:val="0"/>
              <w:autoSpaceDN w:val="0"/>
              <w:adjustRightInd w:val="0"/>
              <w:rPr>
                <w:rFonts w:ascii="Arial" w:hAnsi="Arial" w:cs="Arial"/>
                <w:sz w:val="18"/>
                <w:szCs w:val="24"/>
              </w:rPr>
            </w:pPr>
            <w:r w:rsidRPr="00D30BC1">
              <w:rPr>
                <w:rFonts w:ascii="Arial" w:hAnsi="Arial" w:cs="Arial"/>
                <w:sz w:val="18"/>
                <w:szCs w:val="24"/>
              </w:rPr>
              <w:t xml:space="preserve">Proved </w:t>
            </w:r>
            <w:r>
              <w:rPr>
                <w:rFonts w:ascii="Arial" w:hAnsi="Arial" w:cs="Arial"/>
                <w:sz w:val="18"/>
                <w:szCs w:val="24"/>
              </w:rPr>
              <w:t>Capacity</w:t>
            </w:r>
            <w:r w:rsidRPr="00D30BC1">
              <w:rPr>
                <w:rFonts w:ascii="Arial" w:hAnsi="Arial" w:cs="Arial"/>
                <w:sz w:val="18"/>
                <w:szCs w:val="24"/>
              </w:rPr>
              <w:t xml:space="preserve"> </w:t>
            </w:r>
            <w:r>
              <w:rPr>
                <w:rFonts w:ascii="Arial" w:hAnsi="Arial" w:cs="Arial"/>
                <w:sz w:val="18"/>
                <w:szCs w:val="24"/>
              </w:rPr>
              <w:t xml:space="preserve">is </w:t>
            </w:r>
            <w:r w:rsidRPr="00D30BC1">
              <w:rPr>
                <w:rFonts w:ascii="Arial" w:hAnsi="Arial" w:cs="Arial"/>
                <w:sz w:val="18"/>
                <w:szCs w:val="24"/>
              </w:rPr>
              <w:t xml:space="preserve"> th</w:t>
            </w:r>
            <w:r>
              <w:rPr>
                <w:rFonts w:ascii="Arial" w:hAnsi="Arial" w:cs="Arial"/>
                <w:sz w:val="18"/>
                <w:szCs w:val="24"/>
              </w:rPr>
              <w:t>e</w:t>
            </w:r>
            <w:r w:rsidRPr="00D30BC1">
              <w:rPr>
                <w:rFonts w:ascii="Arial" w:hAnsi="Arial" w:cs="Arial"/>
                <w:sz w:val="18"/>
                <w:szCs w:val="24"/>
              </w:rPr>
              <w:t xml:space="preserve"> quantit</w:t>
            </w:r>
            <w:r>
              <w:rPr>
                <w:rFonts w:ascii="Arial" w:hAnsi="Arial" w:cs="Arial"/>
                <w:sz w:val="18"/>
                <w:szCs w:val="24"/>
              </w:rPr>
              <w:t>y</w:t>
            </w:r>
            <w:r w:rsidRPr="00D30BC1">
              <w:rPr>
                <w:rFonts w:ascii="Arial" w:hAnsi="Arial" w:cs="Arial"/>
                <w:sz w:val="18"/>
                <w:szCs w:val="24"/>
              </w:rPr>
              <w:t xml:space="preserve"> of </w:t>
            </w:r>
            <w:r>
              <w:rPr>
                <w:rFonts w:ascii="Arial" w:hAnsi="Arial" w:cs="Arial"/>
                <w:sz w:val="18"/>
                <w:szCs w:val="24"/>
              </w:rPr>
              <w:t>storage</w:t>
            </w:r>
            <w:r w:rsidRPr="00D30BC1">
              <w:rPr>
                <w:rFonts w:ascii="Arial" w:hAnsi="Arial" w:cs="Arial"/>
                <w:sz w:val="18"/>
                <w:szCs w:val="24"/>
              </w:rPr>
              <w:t xml:space="preserve">, which by analysis of geoscience and engineering data, can be estimated with reasonable certainty to be commercially </w:t>
            </w:r>
            <w:r>
              <w:rPr>
                <w:rFonts w:ascii="Arial" w:hAnsi="Arial" w:cs="Arial"/>
                <w:sz w:val="18"/>
                <w:szCs w:val="24"/>
              </w:rPr>
              <w:t>used for storage</w:t>
            </w:r>
            <w:r w:rsidRPr="00D30BC1">
              <w:rPr>
                <w:rFonts w:ascii="Arial" w:hAnsi="Arial" w:cs="Arial"/>
                <w:sz w:val="18"/>
                <w:szCs w:val="24"/>
              </w:rPr>
              <w:t xml:space="preserve">, from a given date forward, from known </w:t>
            </w:r>
            <w:r>
              <w:rPr>
                <w:rFonts w:ascii="Arial" w:hAnsi="Arial" w:cs="Arial"/>
                <w:sz w:val="18"/>
                <w:szCs w:val="24"/>
              </w:rPr>
              <w:t>geologic formations</w:t>
            </w:r>
            <w:r w:rsidRPr="00D30BC1">
              <w:rPr>
                <w:rFonts w:ascii="Arial" w:hAnsi="Arial" w:cs="Arial"/>
                <w:sz w:val="18"/>
                <w:szCs w:val="24"/>
              </w:rPr>
              <w:t xml:space="preserve"> and under defined economic conditions, operating methods, and government regulations.</w:t>
            </w:r>
          </w:p>
        </w:tc>
        <w:tc>
          <w:tcPr>
            <w:tcW w:w="5580" w:type="dxa"/>
          </w:tcPr>
          <w:p w14:paraId="4E86933A" w14:textId="77777777" w:rsidR="0084589A" w:rsidRPr="00D30BC1" w:rsidRDefault="0084589A" w:rsidP="00D30BC1">
            <w:pPr>
              <w:jc w:val="both"/>
              <w:rPr>
                <w:rFonts w:ascii="Arial" w:hAnsi="Arial" w:cs="Arial"/>
                <w:sz w:val="18"/>
              </w:rPr>
            </w:pPr>
            <w:r w:rsidRPr="00D30BC1">
              <w:rPr>
                <w:rFonts w:ascii="Arial" w:hAnsi="Arial" w:cs="Arial"/>
                <w:sz w:val="18"/>
              </w:rPr>
              <w:t xml:space="preserve">If deterministic methods are used, the term reasonable certainty is intended to express a high degree of confidence that the quantities will be </w:t>
            </w:r>
            <w:r>
              <w:rPr>
                <w:rFonts w:ascii="Arial" w:hAnsi="Arial" w:cs="Arial"/>
                <w:sz w:val="18"/>
              </w:rPr>
              <w:t>used for storage</w:t>
            </w:r>
            <w:r w:rsidRPr="00D30BC1">
              <w:rPr>
                <w:rFonts w:ascii="Arial" w:hAnsi="Arial" w:cs="Arial"/>
                <w:sz w:val="18"/>
              </w:rPr>
              <w:t xml:space="preserve">.  If probabilistic methods are used, there should be at least a 90% probability that the quantities actually </w:t>
            </w:r>
            <w:r>
              <w:rPr>
                <w:rFonts w:ascii="Arial" w:hAnsi="Arial" w:cs="Arial"/>
                <w:sz w:val="18"/>
              </w:rPr>
              <w:t>stored</w:t>
            </w:r>
            <w:r w:rsidRPr="00D30BC1">
              <w:rPr>
                <w:rFonts w:ascii="Arial" w:hAnsi="Arial" w:cs="Arial"/>
                <w:sz w:val="18"/>
              </w:rPr>
              <w:t xml:space="preserve"> will equal or exceed the estimate.</w:t>
            </w:r>
          </w:p>
          <w:p w14:paraId="1BCAEC11" w14:textId="77777777" w:rsidR="0084589A" w:rsidRPr="00D30BC1" w:rsidRDefault="0084589A" w:rsidP="00D30BC1">
            <w:pPr>
              <w:jc w:val="both"/>
              <w:rPr>
                <w:rFonts w:ascii="Arial" w:hAnsi="Arial" w:cs="Arial"/>
                <w:sz w:val="18"/>
              </w:rPr>
            </w:pPr>
          </w:p>
          <w:p w14:paraId="52CF1367" w14:textId="77777777" w:rsidR="0084589A" w:rsidRPr="00D30BC1" w:rsidRDefault="0084589A" w:rsidP="00D30BC1">
            <w:pPr>
              <w:jc w:val="both"/>
              <w:rPr>
                <w:rFonts w:ascii="Arial" w:hAnsi="Arial" w:cs="Arial"/>
                <w:sz w:val="18"/>
              </w:rPr>
            </w:pPr>
            <w:r w:rsidRPr="00D30BC1">
              <w:rPr>
                <w:rFonts w:ascii="Arial" w:hAnsi="Arial" w:cs="Arial"/>
                <w:sz w:val="18"/>
              </w:rPr>
              <w:t xml:space="preserve">The area of the </w:t>
            </w:r>
            <w:r>
              <w:rPr>
                <w:rFonts w:ascii="Arial" w:hAnsi="Arial" w:cs="Arial"/>
                <w:sz w:val="18"/>
              </w:rPr>
              <w:t>geologic formation</w:t>
            </w:r>
            <w:r w:rsidRPr="00D30BC1">
              <w:rPr>
                <w:rFonts w:ascii="Arial" w:hAnsi="Arial" w:cs="Arial"/>
                <w:sz w:val="18"/>
              </w:rPr>
              <w:t xml:space="preserve"> considered as Proved includes (1) the area delineated by drilling, and (2) adjacent undrilled portions of the </w:t>
            </w:r>
            <w:r>
              <w:rPr>
                <w:rFonts w:ascii="Arial" w:hAnsi="Arial" w:cs="Arial"/>
                <w:sz w:val="18"/>
              </w:rPr>
              <w:t>geologic formation</w:t>
            </w:r>
            <w:r w:rsidRPr="00D30BC1">
              <w:rPr>
                <w:rFonts w:ascii="Arial" w:hAnsi="Arial" w:cs="Arial"/>
                <w:sz w:val="18"/>
              </w:rPr>
              <w:t xml:space="preserve"> that can reasonably be judged as continuous and commercially </w:t>
            </w:r>
            <w:r>
              <w:rPr>
                <w:rFonts w:ascii="Arial" w:hAnsi="Arial" w:cs="Arial"/>
                <w:sz w:val="18"/>
              </w:rPr>
              <w:t>storable</w:t>
            </w:r>
            <w:r w:rsidRPr="00D30BC1">
              <w:rPr>
                <w:rFonts w:ascii="Arial" w:hAnsi="Arial" w:cs="Arial"/>
                <w:sz w:val="18"/>
              </w:rPr>
              <w:t xml:space="preserve"> on the basis of available geoscience and engineering data. </w:t>
            </w:r>
          </w:p>
          <w:p w14:paraId="6D283E57" w14:textId="77777777" w:rsidR="0084589A" w:rsidRPr="00D30BC1" w:rsidRDefault="0084589A" w:rsidP="00D30BC1">
            <w:pPr>
              <w:jc w:val="both"/>
              <w:rPr>
                <w:rFonts w:ascii="Arial" w:hAnsi="Arial" w:cs="Arial"/>
                <w:sz w:val="18"/>
              </w:rPr>
            </w:pPr>
          </w:p>
          <w:p w14:paraId="3BEC8D56" w14:textId="77777777" w:rsidR="0084589A" w:rsidRPr="00D30BC1" w:rsidRDefault="0084589A" w:rsidP="00D30BC1">
            <w:pPr>
              <w:jc w:val="both"/>
              <w:rPr>
                <w:rFonts w:ascii="Arial" w:hAnsi="Arial" w:cs="Arial"/>
                <w:sz w:val="18"/>
              </w:rPr>
            </w:pPr>
            <w:r>
              <w:rPr>
                <w:rFonts w:ascii="Arial" w:hAnsi="Arial" w:cs="Arial"/>
                <w:sz w:val="18"/>
              </w:rPr>
              <w:t>Capacity</w:t>
            </w:r>
            <w:r w:rsidRPr="00D30BC1">
              <w:rPr>
                <w:rFonts w:ascii="Arial" w:hAnsi="Arial" w:cs="Arial"/>
                <w:sz w:val="18"/>
              </w:rPr>
              <w:t xml:space="preserve"> in undeveloped locations may be classified as Proved provided that: </w:t>
            </w:r>
          </w:p>
          <w:p w14:paraId="7CF6EE49" w14:textId="77777777" w:rsidR="0084589A" w:rsidRPr="00D30BC1" w:rsidRDefault="0084589A" w:rsidP="0084589A">
            <w:pPr>
              <w:numPr>
                <w:ilvl w:val="0"/>
                <w:numId w:val="20"/>
              </w:numPr>
              <w:jc w:val="both"/>
              <w:rPr>
                <w:rFonts w:ascii="Arial" w:hAnsi="Arial" w:cs="Arial"/>
                <w:sz w:val="18"/>
              </w:rPr>
            </w:pPr>
            <w:r w:rsidRPr="00D30BC1">
              <w:rPr>
                <w:rFonts w:ascii="Arial" w:hAnsi="Arial" w:cs="Arial"/>
                <w:sz w:val="18"/>
              </w:rPr>
              <w:t xml:space="preserve">The locations are in undrilled areas of the </w:t>
            </w:r>
            <w:r>
              <w:rPr>
                <w:rFonts w:ascii="Arial" w:hAnsi="Arial" w:cs="Arial"/>
                <w:sz w:val="18"/>
              </w:rPr>
              <w:t>geologic formation</w:t>
            </w:r>
            <w:r w:rsidRPr="00D30BC1">
              <w:rPr>
                <w:rFonts w:ascii="Arial" w:hAnsi="Arial" w:cs="Arial"/>
                <w:sz w:val="18"/>
              </w:rPr>
              <w:t xml:space="preserve"> that can be judged with reasonable certainty to be commercially </w:t>
            </w:r>
            <w:r>
              <w:rPr>
                <w:rFonts w:ascii="Arial" w:hAnsi="Arial" w:cs="Arial"/>
                <w:sz w:val="18"/>
              </w:rPr>
              <w:t>storable</w:t>
            </w:r>
            <w:r w:rsidRPr="00D30BC1">
              <w:rPr>
                <w:rFonts w:ascii="Arial" w:hAnsi="Arial" w:cs="Arial"/>
                <w:sz w:val="18"/>
              </w:rPr>
              <w:t xml:space="preserve">. </w:t>
            </w:r>
          </w:p>
          <w:p w14:paraId="282062C1" w14:textId="77777777" w:rsidR="0084589A" w:rsidRPr="00D30BC1" w:rsidRDefault="0084589A" w:rsidP="0084589A">
            <w:pPr>
              <w:numPr>
                <w:ilvl w:val="0"/>
                <w:numId w:val="20"/>
              </w:numPr>
              <w:jc w:val="both"/>
              <w:rPr>
                <w:rFonts w:ascii="Arial" w:hAnsi="Arial" w:cs="Arial"/>
                <w:sz w:val="16"/>
              </w:rPr>
            </w:pPr>
            <w:r w:rsidRPr="00D30BC1">
              <w:rPr>
                <w:rFonts w:ascii="Arial" w:hAnsi="Arial" w:cs="Arial"/>
                <w:sz w:val="18"/>
              </w:rPr>
              <w:t xml:space="preserve">Interpretations of available geoscience and engineering data indicate with reasonable certainty that the objective </w:t>
            </w:r>
            <w:r>
              <w:rPr>
                <w:rFonts w:ascii="Arial" w:hAnsi="Arial" w:cs="Arial"/>
                <w:sz w:val="18"/>
              </w:rPr>
              <w:t xml:space="preserve">geologic </w:t>
            </w:r>
            <w:r w:rsidRPr="00D30BC1">
              <w:rPr>
                <w:rFonts w:ascii="Arial" w:hAnsi="Arial" w:cs="Arial"/>
                <w:sz w:val="18"/>
              </w:rPr>
              <w:t>formation is laterally continuous with drilled Proved locations.</w:t>
            </w:r>
          </w:p>
          <w:p w14:paraId="7D793FE1" w14:textId="77777777" w:rsidR="0084589A" w:rsidRPr="00D30BC1" w:rsidRDefault="0084589A" w:rsidP="00D30BC1">
            <w:pPr>
              <w:jc w:val="both"/>
              <w:rPr>
                <w:rFonts w:ascii="Arial" w:hAnsi="Arial" w:cs="Arial"/>
                <w:sz w:val="16"/>
              </w:rPr>
            </w:pPr>
          </w:p>
          <w:p w14:paraId="2F949CAA" w14:textId="77777777" w:rsidR="0084589A" w:rsidRPr="00D30BC1" w:rsidRDefault="0084589A" w:rsidP="001642F3">
            <w:pPr>
              <w:spacing w:before="60" w:after="60"/>
              <w:jc w:val="both"/>
              <w:rPr>
                <w:rFonts w:ascii="Arial" w:eastAsia="Arial Unicode MS" w:hAnsi="Arial" w:cs="Arial"/>
                <w:sz w:val="16"/>
                <w:szCs w:val="18"/>
              </w:rPr>
            </w:pPr>
            <w:r w:rsidRPr="00D30BC1">
              <w:rPr>
                <w:rFonts w:ascii="Arial" w:hAnsi="Arial" w:cs="Arial"/>
                <w:sz w:val="18"/>
              </w:rPr>
              <w:t xml:space="preserve">For Proved </w:t>
            </w:r>
            <w:r>
              <w:rPr>
                <w:rFonts w:ascii="Arial" w:hAnsi="Arial" w:cs="Arial"/>
                <w:sz w:val="18"/>
              </w:rPr>
              <w:t>Capacity</w:t>
            </w:r>
            <w:r w:rsidRPr="00D30BC1">
              <w:rPr>
                <w:rFonts w:ascii="Arial" w:hAnsi="Arial" w:cs="Arial"/>
                <w:sz w:val="18"/>
              </w:rPr>
              <w:t xml:space="preserve">, the </w:t>
            </w:r>
            <w:r>
              <w:rPr>
                <w:rFonts w:ascii="Arial" w:hAnsi="Arial" w:cs="Arial"/>
                <w:sz w:val="18"/>
              </w:rPr>
              <w:t>storage</w:t>
            </w:r>
            <w:r w:rsidRPr="00D30BC1">
              <w:rPr>
                <w:rFonts w:ascii="Arial" w:hAnsi="Arial" w:cs="Arial"/>
                <w:sz w:val="18"/>
              </w:rPr>
              <w:t xml:space="preserve"> efficiency applied to these reservoirs should be defined based on a range of possibilities supported by analogs and sound engineering judgment considering the characteristics of the Proved area and the applied development program.</w:t>
            </w:r>
          </w:p>
        </w:tc>
      </w:tr>
      <w:tr w:rsidR="0084589A" w:rsidRPr="00D30BC1" w14:paraId="193B4C5E" w14:textId="77777777">
        <w:tc>
          <w:tcPr>
            <w:tcW w:w="1620" w:type="dxa"/>
          </w:tcPr>
          <w:p w14:paraId="1F0E6453" w14:textId="77777777" w:rsidR="0084589A" w:rsidRPr="00D30BC1" w:rsidRDefault="0084589A" w:rsidP="001642F3">
            <w:pPr>
              <w:spacing w:before="60" w:after="60"/>
              <w:jc w:val="both"/>
              <w:rPr>
                <w:rFonts w:ascii="Arial" w:eastAsia="Arial Unicode MS" w:hAnsi="Arial" w:cs="Arial"/>
                <w:b/>
                <w:bCs/>
                <w:sz w:val="22"/>
                <w:szCs w:val="18"/>
              </w:rPr>
            </w:pPr>
            <w:r w:rsidRPr="00D30BC1">
              <w:rPr>
                <w:rFonts w:ascii="Arial" w:eastAsia="Arial Unicode MS" w:hAnsi="Arial" w:cs="Arial"/>
                <w:b/>
                <w:bCs/>
                <w:sz w:val="22"/>
                <w:szCs w:val="18"/>
              </w:rPr>
              <w:t xml:space="preserve">Probable </w:t>
            </w:r>
            <w:r>
              <w:rPr>
                <w:rFonts w:ascii="Arial" w:eastAsia="Arial Unicode MS" w:hAnsi="Arial" w:cs="Arial"/>
                <w:b/>
                <w:bCs/>
                <w:sz w:val="22"/>
                <w:szCs w:val="18"/>
              </w:rPr>
              <w:t xml:space="preserve"> Capacity</w:t>
            </w:r>
          </w:p>
        </w:tc>
        <w:tc>
          <w:tcPr>
            <w:tcW w:w="2700" w:type="dxa"/>
          </w:tcPr>
          <w:p w14:paraId="062B92E8" w14:textId="77777777" w:rsidR="0084589A" w:rsidRPr="00D30BC1" w:rsidRDefault="0084589A" w:rsidP="00D30BC1">
            <w:pPr>
              <w:autoSpaceDE w:val="0"/>
              <w:autoSpaceDN w:val="0"/>
              <w:adjustRightInd w:val="0"/>
              <w:rPr>
                <w:rFonts w:ascii="Arial" w:hAnsi="Arial" w:cs="Arial"/>
                <w:sz w:val="18"/>
              </w:rPr>
            </w:pPr>
            <w:r w:rsidRPr="00D30BC1">
              <w:rPr>
                <w:rFonts w:ascii="Arial" w:hAnsi="Arial" w:cs="Arial"/>
                <w:sz w:val="18"/>
              </w:rPr>
              <w:t xml:space="preserve">Probable </w:t>
            </w:r>
            <w:r>
              <w:rPr>
                <w:rFonts w:ascii="Arial" w:hAnsi="Arial" w:cs="Arial"/>
                <w:sz w:val="18"/>
              </w:rPr>
              <w:t>Capacity</w:t>
            </w:r>
            <w:r w:rsidRPr="00D30BC1" w:rsidDel="009616A6">
              <w:rPr>
                <w:rFonts w:ascii="Arial" w:hAnsi="Arial" w:cs="Arial"/>
                <w:sz w:val="18"/>
              </w:rPr>
              <w:t xml:space="preserve"> </w:t>
            </w:r>
            <w:r>
              <w:rPr>
                <w:rFonts w:ascii="Arial" w:hAnsi="Arial" w:cs="Arial"/>
                <w:sz w:val="18"/>
              </w:rPr>
              <w:t xml:space="preserve">is </w:t>
            </w:r>
            <w:r w:rsidRPr="00D30BC1">
              <w:rPr>
                <w:rFonts w:ascii="Arial" w:hAnsi="Arial" w:cs="Arial"/>
                <w:sz w:val="18"/>
              </w:rPr>
              <w:t xml:space="preserve"> </w:t>
            </w:r>
            <w:r>
              <w:rPr>
                <w:rFonts w:ascii="Arial" w:hAnsi="Arial" w:cs="Arial"/>
                <w:sz w:val="18"/>
              </w:rPr>
              <w:t>the</w:t>
            </w:r>
            <w:r w:rsidRPr="00D30BC1">
              <w:rPr>
                <w:rFonts w:ascii="Arial" w:hAnsi="Arial" w:cs="Arial"/>
                <w:sz w:val="18"/>
              </w:rPr>
              <w:t xml:space="preserve"> additional </w:t>
            </w:r>
            <w:r>
              <w:rPr>
                <w:rFonts w:ascii="Arial" w:hAnsi="Arial" w:cs="Arial"/>
                <w:sz w:val="18"/>
              </w:rPr>
              <w:t>Capacity</w:t>
            </w:r>
            <w:r w:rsidRPr="00D30BC1" w:rsidDel="009616A6">
              <w:rPr>
                <w:rFonts w:ascii="Arial" w:hAnsi="Arial" w:cs="Arial"/>
                <w:sz w:val="18"/>
              </w:rPr>
              <w:t xml:space="preserve"> </w:t>
            </w:r>
            <w:r w:rsidRPr="00D30BC1">
              <w:rPr>
                <w:rFonts w:ascii="Arial" w:hAnsi="Arial" w:cs="Arial"/>
                <w:sz w:val="18"/>
              </w:rPr>
              <w:t xml:space="preserve">which analysis of geoscience and engineering data indicate are less likely to be </w:t>
            </w:r>
            <w:r>
              <w:rPr>
                <w:rFonts w:ascii="Arial" w:hAnsi="Arial" w:cs="Arial"/>
                <w:sz w:val="18"/>
              </w:rPr>
              <w:t>used for storage</w:t>
            </w:r>
            <w:r w:rsidRPr="00D30BC1">
              <w:rPr>
                <w:rFonts w:ascii="Arial" w:hAnsi="Arial" w:cs="Arial"/>
                <w:sz w:val="18"/>
              </w:rPr>
              <w:t xml:space="preserve"> than Proved </w:t>
            </w:r>
            <w:r>
              <w:rPr>
                <w:rFonts w:ascii="Arial" w:hAnsi="Arial" w:cs="Arial"/>
                <w:sz w:val="18"/>
              </w:rPr>
              <w:t>Capacity</w:t>
            </w:r>
            <w:r w:rsidRPr="00D30BC1" w:rsidDel="009616A6">
              <w:rPr>
                <w:rFonts w:ascii="Arial" w:hAnsi="Arial" w:cs="Arial"/>
                <w:sz w:val="18"/>
              </w:rPr>
              <w:t xml:space="preserve"> </w:t>
            </w:r>
            <w:r w:rsidRPr="00D30BC1">
              <w:rPr>
                <w:rFonts w:ascii="Arial" w:hAnsi="Arial" w:cs="Arial"/>
                <w:sz w:val="18"/>
              </w:rPr>
              <w:t xml:space="preserve">but more certain to be </w:t>
            </w:r>
            <w:r>
              <w:rPr>
                <w:rFonts w:ascii="Arial" w:hAnsi="Arial" w:cs="Arial"/>
                <w:sz w:val="18"/>
              </w:rPr>
              <w:t>used for storage</w:t>
            </w:r>
            <w:r w:rsidRPr="00D30BC1">
              <w:rPr>
                <w:rFonts w:ascii="Arial" w:hAnsi="Arial" w:cs="Arial"/>
                <w:sz w:val="18"/>
              </w:rPr>
              <w:t xml:space="preserve"> than Possible </w:t>
            </w:r>
            <w:r>
              <w:rPr>
                <w:rFonts w:ascii="Arial" w:hAnsi="Arial" w:cs="Arial"/>
                <w:sz w:val="18"/>
              </w:rPr>
              <w:t>Capacity</w:t>
            </w:r>
            <w:r w:rsidRPr="00D30BC1">
              <w:rPr>
                <w:rFonts w:ascii="Arial" w:hAnsi="Arial" w:cs="Arial"/>
                <w:sz w:val="18"/>
              </w:rPr>
              <w:t>.</w:t>
            </w:r>
          </w:p>
          <w:p w14:paraId="50AF7E16" w14:textId="77777777" w:rsidR="0084589A" w:rsidRPr="00D30BC1" w:rsidRDefault="0084589A" w:rsidP="00D30BC1">
            <w:pPr>
              <w:autoSpaceDE w:val="0"/>
              <w:autoSpaceDN w:val="0"/>
              <w:adjustRightInd w:val="0"/>
              <w:jc w:val="both"/>
              <w:rPr>
                <w:rFonts w:ascii="Arial" w:eastAsia="Arial Unicode MS" w:hAnsi="Arial" w:cs="Arial"/>
                <w:sz w:val="18"/>
                <w:szCs w:val="18"/>
              </w:rPr>
            </w:pPr>
          </w:p>
        </w:tc>
        <w:tc>
          <w:tcPr>
            <w:tcW w:w="5580" w:type="dxa"/>
          </w:tcPr>
          <w:p w14:paraId="7784E77B" w14:textId="77777777" w:rsidR="0084589A" w:rsidRPr="00D30BC1" w:rsidRDefault="0084589A" w:rsidP="00D30BC1">
            <w:pPr>
              <w:jc w:val="both"/>
              <w:rPr>
                <w:rFonts w:ascii="Arial" w:hAnsi="Arial" w:cs="Arial"/>
                <w:sz w:val="18"/>
              </w:rPr>
            </w:pPr>
            <w:r w:rsidRPr="00D30BC1">
              <w:rPr>
                <w:rFonts w:ascii="Arial" w:hAnsi="Arial" w:cs="Arial"/>
                <w:sz w:val="18"/>
              </w:rPr>
              <w:t xml:space="preserve">It is equally likely that actual remaining quantities </w:t>
            </w:r>
            <w:r>
              <w:rPr>
                <w:rFonts w:ascii="Arial" w:hAnsi="Arial" w:cs="Arial"/>
                <w:sz w:val="18"/>
              </w:rPr>
              <w:t>stored</w:t>
            </w:r>
            <w:r w:rsidRPr="00D30BC1">
              <w:rPr>
                <w:rFonts w:ascii="Arial" w:hAnsi="Arial" w:cs="Arial"/>
                <w:sz w:val="18"/>
              </w:rPr>
              <w:t xml:space="preserve"> will be greater than or less than the sum of the estimated Proved plus Probable </w:t>
            </w:r>
            <w:r>
              <w:rPr>
                <w:rFonts w:ascii="Arial" w:hAnsi="Arial" w:cs="Arial"/>
                <w:sz w:val="18"/>
              </w:rPr>
              <w:t>Capacity</w:t>
            </w:r>
            <w:r w:rsidRPr="00D30BC1" w:rsidDel="009616A6">
              <w:rPr>
                <w:rFonts w:ascii="Arial" w:hAnsi="Arial" w:cs="Arial"/>
                <w:sz w:val="18"/>
              </w:rPr>
              <w:t xml:space="preserve"> </w:t>
            </w:r>
            <w:r w:rsidRPr="00D30BC1">
              <w:rPr>
                <w:rFonts w:ascii="Arial" w:hAnsi="Arial" w:cs="Arial"/>
                <w:sz w:val="18"/>
              </w:rPr>
              <w:t xml:space="preserve">(2P). In this context, when probabilistic methods are used, there should be at least a 50% probability that the actual quantities </w:t>
            </w:r>
            <w:r>
              <w:rPr>
                <w:rFonts w:ascii="Arial" w:hAnsi="Arial" w:cs="Arial"/>
                <w:sz w:val="18"/>
              </w:rPr>
              <w:t>stored</w:t>
            </w:r>
            <w:r w:rsidRPr="00D30BC1">
              <w:rPr>
                <w:rFonts w:ascii="Arial" w:hAnsi="Arial" w:cs="Arial"/>
                <w:sz w:val="18"/>
              </w:rPr>
              <w:t xml:space="preserve"> will equal or exceed the 2P estimate.</w:t>
            </w:r>
          </w:p>
          <w:p w14:paraId="40B1638D" w14:textId="77777777" w:rsidR="0084589A" w:rsidRPr="00D30BC1" w:rsidRDefault="0084589A" w:rsidP="00D30BC1">
            <w:pPr>
              <w:ind w:left="360"/>
              <w:jc w:val="both"/>
              <w:rPr>
                <w:rFonts w:ascii="Arial" w:hAnsi="Arial" w:cs="Arial"/>
                <w:sz w:val="18"/>
              </w:rPr>
            </w:pPr>
          </w:p>
          <w:p w14:paraId="7044FA73" w14:textId="77777777" w:rsidR="0084589A" w:rsidRPr="00D30BC1" w:rsidRDefault="0084589A" w:rsidP="00D30BC1">
            <w:pPr>
              <w:spacing w:before="60" w:after="60"/>
              <w:jc w:val="both"/>
              <w:rPr>
                <w:rFonts w:ascii="Arial" w:hAnsi="Arial" w:cs="Arial"/>
                <w:sz w:val="18"/>
              </w:rPr>
            </w:pPr>
            <w:r w:rsidRPr="00D30BC1">
              <w:rPr>
                <w:rFonts w:ascii="Arial" w:hAnsi="Arial" w:cs="Arial"/>
                <w:sz w:val="18"/>
              </w:rPr>
              <w:t xml:space="preserve">Probable </w:t>
            </w:r>
            <w:r>
              <w:rPr>
                <w:rFonts w:ascii="Arial" w:hAnsi="Arial" w:cs="Arial"/>
                <w:sz w:val="18"/>
              </w:rPr>
              <w:t>Capacity</w:t>
            </w:r>
            <w:r w:rsidRPr="00D30BC1" w:rsidDel="009616A6">
              <w:rPr>
                <w:rFonts w:ascii="Arial" w:hAnsi="Arial" w:cs="Arial"/>
                <w:sz w:val="18"/>
              </w:rPr>
              <w:t xml:space="preserve"> </w:t>
            </w:r>
            <w:r w:rsidRPr="00D30BC1">
              <w:rPr>
                <w:rFonts w:ascii="Arial" w:hAnsi="Arial" w:cs="Arial"/>
                <w:sz w:val="18"/>
              </w:rPr>
              <w:t xml:space="preserve">may be assigned to areas of a </w:t>
            </w:r>
            <w:r>
              <w:rPr>
                <w:rFonts w:ascii="Arial" w:hAnsi="Arial" w:cs="Arial"/>
                <w:sz w:val="18"/>
              </w:rPr>
              <w:t>geologic formation</w:t>
            </w:r>
            <w:r w:rsidRPr="00D30BC1">
              <w:rPr>
                <w:rFonts w:ascii="Arial" w:hAnsi="Arial" w:cs="Arial"/>
                <w:sz w:val="18"/>
              </w:rPr>
              <w:t xml:space="preserve"> adjacent to Proved where data control or interpretations of available data are less certain.</w:t>
            </w:r>
            <w:r w:rsidRPr="00D30BC1">
              <w:rPr>
                <w:rFonts w:ascii="Arial" w:hAnsi="Arial" w:cs="Arial"/>
                <w:i/>
                <w:iCs/>
                <w:sz w:val="18"/>
              </w:rPr>
              <w:t xml:space="preserve"> </w:t>
            </w:r>
            <w:r w:rsidRPr="00D30BC1">
              <w:rPr>
                <w:rFonts w:ascii="Arial" w:hAnsi="Arial" w:cs="Arial"/>
                <w:sz w:val="18"/>
              </w:rPr>
              <w:t xml:space="preserve">The interpreted </w:t>
            </w:r>
            <w:r>
              <w:rPr>
                <w:rFonts w:ascii="Arial" w:hAnsi="Arial" w:cs="Arial"/>
                <w:sz w:val="18"/>
              </w:rPr>
              <w:t>geologic formation</w:t>
            </w:r>
            <w:r w:rsidRPr="00D30BC1">
              <w:rPr>
                <w:rFonts w:ascii="Arial" w:hAnsi="Arial" w:cs="Arial"/>
                <w:sz w:val="18"/>
              </w:rPr>
              <w:t xml:space="preserve"> continuity may not meet the reasonable certainty criteria.  </w:t>
            </w:r>
          </w:p>
          <w:p w14:paraId="21491301" w14:textId="77777777" w:rsidR="0084589A" w:rsidRPr="00D30BC1" w:rsidRDefault="0084589A" w:rsidP="00D30BC1">
            <w:pPr>
              <w:spacing w:before="60" w:after="60"/>
              <w:jc w:val="both"/>
              <w:rPr>
                <w:rFonts w:ascii="Arial" w:hAnsi="Arial" w:cs="Arial"/>
                <w:sz w:val="18"/>
              </w:rPr>
            </w:pPr>
            <w:r w:rsidRPr="00D30BC1">
              <w:rPr>
                <w:rFonts w:ascii="Arial" w:hAnsi="Arial" w:cs="Arial"/>
                <w:sz w:val="18"/>
              </w:rPr>
              <w:t xml:space="preserve">Probable estimates also include incremental </w:t>
            </w:r>
            <w:r>
              <w:rPr>
                <w:rFonts w:ascii="Arial" w:hAnsi="Arial" w:cs="Arial"/>
                <w:sz w:val="18"/>
              </w:rPr>
              <w:t>storage</w:t>
            </w:r>
            <w:r w:rsidRPr="00D30BC1">
              <w:rPr>
                <w:rFonts w:ascii="Arial" w:hAnsi="Arial" w:cs="Arial"/>
                <w:sz w:val="18"/>
              </w:rPr>
              <w:t xml:space="preserve"> associated with project </w:t>
            </w:r>
            <w:r>
              <w:rPr>
                <w:rFonts w:ascii="Arial" w:hAnsi="Arial" w:cs="Arial"/>
                <w:sz w:val="18"/>
              </w:rPr>
              <w:t>storage</w:t>
            </w:r>
            <w:r w:rsidRPr="00D30BC1">
              <w:rPr>
                <w:rFonts w:ascii="Arial" w:hAnsi="Arial" w:cs="Arial"/>
                <w:sz w:val="18"/>
              </w:rPr>
              <w:t xml:space="preserve"> efficienc</w:t>
            </w:r>
            <w:r w:rsidR="00913389">
              <w:rPr>
                <w:rFonts w:ascii="Arial" w:hAnsi="Arial" w:cs="Arial"/>
                <w:sz w:val="18"/>
              </w:rPr>
              <w:t xml:space="preserve">y </w:t>
            </w:r>
            <w:r w:rsidRPr="00D30BC1">
              <w:rPr>
                <w:rFonts w:ascii="Arial" w:hAnsi="Arial" w:cs="Arial"/>
                <w:sz w:val="18"/>
              </w:rPr>
              <w:t xml:space="preserve">beyond that assumed for Proved. </w:t>
            </w:r>
          </w:p>
          <w:p w14:paraId="0B6ABF58" w14:textId="77777777" w:rsidR="0084589A" w:rsidRPr="00D30BC1" w:rsidRDefault="0084589A" w:rsidP="00D30BC1">
            <w:pPr>
              <w:spacing w:before="60" w:after="60"/>
              <w:jc w:val="both"/>
              <w:rPr>
                <w:rFonts w:ascii="Arial" w:eastAsia="Arial Unicode MS" w:hAnsi="Arial" w:cs="Arial"/>
                <w:sz w:val="18"/>
                <w:szCs w:val="18"/>
              </w:rPr>
            </w:pPr>
          </w:p>
        </w:tc>
      </w:tr>
    </w:tbl>
    <w:p w14:paraId="12ED6ADF" w14:textId="77777777" w:rsidR="0084589A" w:rsidRPr="00D30BC1" w:rsidRDefault="0084589A" w:rsidP="00D30BC1">
      <w:pPr>
        <w:jc w:val="center"/>
        <w:rPr>
          <w:rFonts w:ascii="Arial" w:hAnsi="Arial" w:cs="Arial"/>
          <w:b/>
          <w:bCs/>
        </w:rPr>
      </w:pPr>
      <w:r w:rsidRPr="00D30BC1">
        <w:br w:type="page"/>
      </w:r>
    </w:p>
    <w:tbl>
      <w:tblPr>
        <w:tblW w:w="99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0"/>
        <w:gridCol w:w="2700"/>
        <w:gridCol w:w="5580"/>
      </w:tblGrid>
      <w:tr w:rsidR="0084589A" w:rsidRPr="00D30BC1" w14:paraId="6C028A26" w14:textId="77777777">
        <w:tc>
          <w:tcPr>
            <w:tcW w:w="1620" w:type="dxa"/>
          </w:tcPr>
          <w:p w14:paraId="3929B3BF" w14:textId="77777777" w:rsidR="0084589A" w:rsidRPr="00D30BC1" w:rsidRDefault="0084589A" w:rsidP="00D30BC1">
            <w:pPr>
              <w:spacing w:before="60" w:after="60"/>
              <w:jc w:val="both"/>
              <w:rPr>
                <w:rFonts w:ascii="Arial" w:eastAsia="Arial Unicode MS" w:hAnsi="Arial" w:cs="Arial"/>
                <w:b/>
                <w:bCs/>
                <w:sz w:val="20"/>
                <w:szCs w:val="18"/>
              </w:rPr>
            </w:pPr>
            <w:r w:rsidRPr="00D30BC1">
              <w:br w:type="page"/>
            </w:r>
            <w:r w:rsidRPr="00D30BC1">
              <w:rPr>
                <w:rFonts w:ascii="Arial" w:eastAsia="Arial Unicode MS" w:hAnsi="Arial" w:cs="Arial"/>
                <w:b/>
                <w:bCs/>
                <w:sz w:val="20"/>
                <w:szCs w:val="18"/>
              </w:rPr>
              <w:t>Category</w:t>
            </w:r>
          </w:p>
        </w:tc>
        <w:tc>
          <w:tcPr>
            <w:tcW w:w="2700" w:type="dxa"/>
            <w:vAlign w:val="center"/>
          </w:tcPr>
          <w:p w14:paraId="0FE16BD9" w14:textId="77777777" w:rsidR="0084589A" w:rsidRPr="00D30BC1" w:rsidRDefault="0084589A" w:rsidP="00D30BC1">
            <w:pPr>
              <w:pStyle w:val="Heading9"/>
              <w:jc w:val="both"/>
            </w:pPr>
            <w:r w:rsidRPr="00D30BC1">
              <w:t>Definition</w:t>
            </w:r>
          </w:p>
        </w:tc>
        <w:tc>
          <w:tcPr>
            <w:tcW w:w="5580" w:type="dxa"/>
          </w:tcPr>
          <w:p w14:paraId="55F325EB" w14:textId="77777777" w:rsidR="0084589A" w:rsidRPr="00D30BC1" w:rsidRDefault="0084589A" w:rsidP="00D30BC1">
            <w:pPr>
              <w:spacing w:before="60" w:after="60"/>
              <w:jc w:val="both"/>
              <w:rPr>
                <w:rFonts w:ascii="Arial" w:hAnsi="Arial" w:cs="Arial"/>
                <w:b/>
                <w:bCs/>
                <w:sz w:val="20"/>
              </w:rPr>
            </w:pPr>
            <w:r w:rsidRPr="00D30BC1">
              <w:rPr>
                <w:rFonts w:ascii="Arial" w:hAnsi="Arial" w:cs="Arial"/>
                <w:b/>
                <w:bCs/>
                <w:sz w:val="20"/>
              </w:rPr>
              <w:t>Guidelines</w:t>
            </w:r>
          </w:p>
        </w:tc>
      </w:tr>
      <w:tr w:rsidR="0084589A" w:rsidRPr="00D30BC1" w14:paraId="2932BEA9" w14:textId="77777777">
        <w:tc>
          <w:tcPr>
            <w:tcW w:w="1620" w:type="dxa"/>
          </w:tcPr>
          <w:p w14:paraId="387AD595" w14:textId="77777777" w:rsidR="0084589A" w:rsidRDefault="0084589A" w:rsidP="001642F3">
            <w:pPr>
              <w:spacing w:before="60" w:after="60"/>
              <w:jc w:val="both"/>
              <w:rPr>
                <w:rFonts w:ascii="Arial" w:eastAsia="Arial Unicode MS" w:hAnsi="Arial" w:cs="Arial"/>
                <w:b/>
                <w:bCs/>
                <w:sz w:val="22"/>
                <w:szCs w:val="18"/>
              </w:rPr>
            </w:pPr>
            <w:r w:rsidRPr="00D30BC1">
              <w:rPr>
                <w:rFonts w:ascii="Arial" w:eastAsia="Arial Unicode MS" w:hAnsi="Arial" w:cs="Arial"/>
                <w:b/>
                <w:bCs/>
                <w:sz w:val="22"/>
                <w:szCs w:val="18"/>
              </w:rPr>
              <w:t xml:space="preserve">Possible </w:t>
            </w:r>
          </w:p>
          <w:p w14:paraId="5B607FAE" w14:textId="77777777" w:rsidR="0084589A" w:rsidRPr="00D30BC1" w:rsidRDefault="0084589A" w:rsidP="001642F3">
            <w:pPr>
              <w:spacing w:before="60" w:after="60"/>
              <w:jc w:val="both"/>
              <w:rPr>
                <w:rFonts w:ascii="Arial" w:eastAsia="Arial Unicode MS" w:hAnsi="Arial" w:cs="Arial"/>
                <w:b/>
                <w:bCs/>
                <w:sz w:val="22"/>
                <w:szCs w:val="18"/>
              </w:rPr>
            </w:pPr>
            <w:r>
              <w:rPr>
                <w:rFonts w:ascii="Arial" w:eastAsia="Arial Unicode MS" w:hAnsi="Arial" w:cs="Arial"/>
                <w:b/>
                <w:bCs/>
                <w:sz w:val="22"/>
                <w:szCs w:val="18"/>
              </w:rPr>
              <w:t>Capacity</w:t>
            </w:r>
          </w:p>
        </w:tc>
        <w:tc>
          <w:tcPr>
            <w:tcW w:w="2700" w:type="dxa"/>
          </w:tcPr>
          <w:p w14:paraId="200F2C26" w14:textId="4D2EC961" w:rsidR="0084589A" w:rsidRPr="00D30BC1" w:rsidRDefault="0084589A" w:rsidP="001E0235">
            <w:pPr>
              <w:autoSpaceDE w:val="0"/>
              <w:autoSpaceDN w:val="0"/>
              <w:adjustRightInd w:val="0"/>
              <w:rPr>
                <w:rFonts w:ascii="Arial" w:eastAsia="Arial Unicode MS" w:hAnsi="Arial" w:cs="Arial"/>
                <w:sz w:val="18"/>
                <w:szCs w:val="18"/>
              </w:rPr>
            </w:pPr>
            <w:r w:rsidRPr="00D30BC1">
              <w:rPr>
                <w:rFonts w:ascii="Arial" w:hAnsi="Arial" w:cs="Arial"/>
                <w:sz w:val="18"/>
              </w:rPr>
              <w:t xml:space="preserve">Possible </w:t>
            </w:r>
            <w:r>
              <w:rPr>
                <w:rFonts w:ascii="Arial" w:hAnsi="Arial" w:cs="Arial"/>
                <w:sz w:val="18"/>
              </w:rPr>
              <w:t>Capacity</w:t>
            </w:r>
            <w:r w:rsidRPr="00D30BC1" w:rsidDel="009616A6">
              <w:rPr>
                <w:rFonts w:ascii="Arial" w:hAnsi="Arial" w:cs="Arial"/>
                <w:sz w:val="18"/>
              </w:rPr>
              <w:t xml:space="preserve"> </w:t>
            </w:r>
            <w:r w:rsidR="001E0235">
              <w:rPr>
                <w:rFonts w:ascii="Arial" w:hAnsi="Arial" w:cs="Arial"/>
                <w:sz w:val="18"/>
              </w:rPr>
              <w:t>is</w:t>
            </w:r>
            <w:r w:rsidRPr="00D30BC1">
              <w:rPr>
                <w:rFonts w:ascii="Arial" w:hAnsi="Arial" w:cs="Arial"/>
                <w:sz w:val="18"/>
              </w:rPr>
              <w:t xml:space="preserve"> th</w:t>
            </w:r>
            <w:r w:rsidR="001E0235">
              <w:rPr>
                <w:rFonts w:ascii="Arial" w:hAnsi="Arial" w:cs="Arial"/>
                <w:sz w:val="18"/>
              </w:rPr>
              <w:t>e additional Capacity</w:t>
            </w:r>
            <w:r w:rsidRPr="00D30BC1">
              <w:rPr>
                <w:rFonts w:ascii="Arial" w:hAnsi="Arial" w:cs="Arial"/>
                <w:sz w:val="18"/>
              </w:rPr>
              <w:t xml:space="preserve"> which analysis of geoscience and engineering data indicate are less likely to be </w:t>
            </w:r>
            <w:r w:rsidR="001E0235">
              <w:rPr>
                <w:rFonts w:ascii="Arial" w:hAnsi="Arial" w:cs="Arial"/>
                <w:sz w:val="18"/>
              </w:rPr>
              <w:t>used for storage</w:t>
            </w:r>
            <w:r w:rsidRPr="00D30BC1">
              <w:rPr>
                <w:rFonts w:ascii="Arial" w:hAnsi="Arial" w:cs="Arial"/>
                <w:sz w:val="18"/>
              </w:rPr>
              <w:t xml:space="preserve"> than Probable </w:t>
            </w:r>
            <w:r>
              <w:rPr>
                <w:rFonts w:ascii="Arial" w:hAnsi="Arial" w:cs="Arial"/>
                <w:sz w:val="18"/>
              </w:rPr>
              <w:t>Capacity</w:t>
            </w:r>
            <w:r w:rsidRPr="00D30BC1">
              <w:rPr>
                <w:rFonts w:ascii="Arial" w:hAnsi="Arial" w:cs="Arial"/>
                <w:sz w:val="18"/>
              </w:rPr>
              <w:t>.</w:t>
            </w:r>
          </w:p>
        </w:tc>
        <w:tc>
          <w:tcPr>
            <w:tcW w:w="5580" w:type="dxa"/>
          </w:tcPr>
          <w:p w14:paraId="011D83E7" w14:textId="77777777" w:rsidR="0084589A" w:rsidRPr="00D30BC1" w:rsidRDefault="0084589A" w:rsidP="00D30BC1">
            <w:pPr>
              <w:jc w:val="both"/>
              <w:rPr>
                <w:rFonts w:ascii="Arial" w:hAnsi="Arial" w:cs="Arial"/>
                <w:sz w:val="18"/>
              </w:rPr>
            </w:pPr>
            <w:r w:rsidRPr="00D30BC1">
              <w:rPr>
                <w:rFonts w:ascii="Arial" w:hAnsi="Arial" w:cs="Arial"/>
                <w:sz w:val="18"/>
              </w:rPr>
              <w:t xml:space="preserve">The total quantities ultimately </w:t>
            </w:r>
            <w:r>
              <w:rPr>
                <w:rFonts w:ascii="Arial" w:hAnsi="Arial" w:cs="Arial"/>
                <w:sz w:val="18"/>
              </w:rPr>
              <w:t>stored</w:t>
            </w:r>
            <w:r w:rsidRPr="00D30BC1">
              <w:rPr>
                <w:rFonts w:ascii="Arial" w:hAnsi="Arial" w:cs="Arial"/>
                <w:sz w:val="18"/>
              </w:rPr>
              <w:t xml:space="preserve"> from the project have a low probability to exceed the sum of Proved plus Probable plus Possible (3P), which is equivalent to the high estimate scenario. When probabilistic methods are used, there should be at least a 10% probability that the actual quantities </w:t>
            </w:r>
            <w:r>
              <w:rPr>
                <w:rFonts w:ascii="Arial" w:hAnsi="Arial" w:cs="Arial"/>
                <w:sz w:val="18"/>
              </w:rPr>
              <w:t>stored</w:t>
            </w:r>
            <w:r w:rsidRPr="00D30BC1">
              <w:rPr>
                <w:rFonts w:ascii="Arial" w:hAnsi="Arial" w:cs="Arial"/>
                <w:sz w:val="18"/>
              </w:rPr>
              <w:t xml:space="preserve"> will equal or exceed the 3P estimate.</w:t>
            </w:r>
          </w:p>
          <w:p w14:paraId="6459DD14" w14:textId="77777777" w:rsidR="0084589A" w:rsidRPr="00D30BC1" w:rsidRDefault="0084589A" w:rsidP="00D30BC1">
            <w:pPr>
              <w:jc w:val="both"/>
              <w:rPr>
                <w:rFonts w:ascii="Arial" w:hAnsi="Arial" w:cs="Arial"/>
                <w:i/>
                <w:iCs/>
                <w:sz w:val="18"/>
              </w:rPr>
            </w:pPr>
          </w:p>
          <w:p w14:paraId="66832FE4" w14:textId="77777777" w:rsidR="0084589A" w:rsidRPr="00D30BC1" w:rsidRDefault="0084589A" w:rsidP="00D30BC1">
            <w:pPr>
              <w:spacing w:before="60" w:after="60"/>
              <w:jc w:val="both"/>
              <w:rPr>
                <w:rFonts w:ascii="Arial" w:hAnsi="Arial" w:cs="Arial"/>
                <w:sz w:val="18"/>
              </w:rPr>
            </w:pPr>
            <w:r w:rsidRPr="00D30BC1">
              <w:rPr>
                <w:rFonts w:ascii="Arial" w:hAnsi="Arial" w:cs="Arial"/>
                <w:sz w:val="18"/>
              </w:rPr>
              <w:t xml:space="preserve">Possible </w:t>
            </w:r>
            <w:r>
              <w:rPr>
                <w:rFonts w:ascii="Arial" w:hAnsi="Arial" w:cs="Arial"/>
                <w:sz w:val="18"/>
              </w:rPr>
              <w:t>Capacity</w:t>
            </w:r>
            <w:r w:rsidRPr="00D30BC1" w:rsidDel="009616A6">
              <w:rPr>
                <w:rFonts w:ascii="Arial" w:hAnsi="Arial" w:cs="Arial"/>
                <w:sz w:val="18"/>
              </w:rPr>
              <w:t xml:space="preserve"> </w:t>
            </w:r>
            <w:r w:rsidRPr="00D30BC1">
              <w:rPr>
                <w:rFonts w:ascii="Arial" w:hAnsi="Arial" w:cs="Arial"/>
                <w:sz w:val="18"/>
              </w:rPr>
              <w:t xml:space="preserve">may be assigned to areas of a </w:t>
            </w:r>
            <w:r>
              <w:rPr>
                <w:rFonts w:ascii="Arial" w:hAnsi="Arial" w:cs="Arial"/>
                <w:sz w:val="18"/>
              </w:rPr>
              <w:t>geologic formation</w:t>
            </w:r>
            <w:r w:rsidRPr="00D30BC1">
              <w:rPr>
                <w:rFonts w:ascii="Arial" w:hAnsi="Arial" w:cs="Arial"/>
                <w:sz w:val="18"/>
              </w:rPr>
              <w:t xml:space="preserve"> adjacent to Probable where data control and interpretations of available data are progressively less certain</w:t>
            </w:r>
            <w:r w:rsidRPr="00D30BC1">
              <w:rPr>
                <w:rFonts w:ascii="Arial" w:hAnsi="Arial" w:cs="Arial"/>
                <w:b/>
                <w:bCs/>
                <w:sz w:val="18"/>
              </w:rPr>
              <w:t xml:space="preserve">. </w:t>
            </w:r>
            <w:r w:rsidRPr="00D30BC1">
              <w:rPr>
                <w:rFonts w:ascii="Arial" w:hAnsi="Arial" w:cs="Arial"/>
                <w:sz w:val="18"/>
              </w:rPr>
              <w:t xml:space="preserve">Frequently, this may be in areas where geoscience and engineering data are unable to clearly define the area and </w:t>
            </w:r>
            <w:r w:rsidR="00913389" w:rsidRPr="00D30BC1">
              <w:rPr>
                <w:rFonts w:ascii="Arial" w:hAnsi="Arial" w:cs="Arial"/>
                <w:sz w:val="18"/>
              </w:rPr>
              <w:t>vertical limits</w:t>
            </w:r>
            <w:r w:rsidRPr="00D30BC1">
              <w:rPr>
                <w:rFonts w:ascii="Arial" w:hAnsi="Arial" w:cs="Arial"/>
                <w:sz w:val="18"/>
              </w:rPr>
              <w:t xml:space="preserve"> of commercial </w:t>
            </w:r>
            <w:r>
              <w:rPr>
                <w:rFonts w:ascii="Arial" w:hAnsi="Arial" w:cs="Arial"/>
                <w:sz w:val="18"/>
              </w:rPr>
              <w:t>storage</w:t>
            </w:r>
            <w:r w:rsidRPr="00D30BC1">
              <w:rPr>
                <w:rFonts w:ascii="Arial" w:hAnsi="Arial" w:cs="Arial"/>
                <w:sz w:val="18"/>
              </w:rPr>
              <w:t xml:space="preserve"> from the </w:t>
            </w:r>
            <w:r>
              <w:rPr>
                <w:rFonts w:ascii="Arial" w:hAnsi="Arial" w:cs="Arial"/>
                <w:sz w:val="18"/>
              </w:rPr>
              <w:t>geologic formation</w:t>
            </w:r>
            <w:r w:rsidRPr="00D30BC1">
              <w:rPr>
                <w:rFonts w:ascii="Arial" w:hAnsi="Arial" w:cs="Arial"/>
                <w:sz w:val="18"/>
              </w:rPr>
              <w:t xml:space="preserve"> by a defined project. </w:t>
            </w:r>
          </w:p>
          <w:p w14:paraId="51D12B26" w14:textId="77777777" w:rsidR="0084589A" w:rsidRPr="00D30BC1" w:rsidRDefault="0084589A" w:rsidP="00D30BC1">
            <w:pPr>
              <w:spacing w:before="60" w:after="60"/>
              <w:jc w:val="both"/>
              <w:rPr>
                <w:rFonts w:ascii="Arial" w:hAnsi="Arial" w:cs="Arial"/>
                <w:sz w:val="18"/>
              </w:rPr>
            </w:pPr>
          </w:p>
          <w:p w14:paraId="60712B2B" w14:textId="77777777" w:rsidR="0084589A" w:rsidRPr="00D30BC1" w:rsidRDefault="0084589A" w:rsidP="00D30BC1">
            <w:pPr>
              <w:spacing w:before="60" w:after="60"/>
              <w:jc w:val="both"/>
              <w:rPr>
                <w:rFonts w:ascii="Arial" w:hAnsi="Arial" w:cs="Arial"/>
                <w:sz w:val="18"/>
              </w:rPr>
            </w:pPr>
            <w:r w:rsidRPr="00D30BC1">
              <w:rPr>
                <w:rFonts w:ascii="Arial" w:hAnsi="Arial" w:cs="Arial"/>
                <w:sz w:val="18"/>
              </w:rPr>
              <w:t xml:space="preserve">Possible estimates also include incremental quantities associated with project </w:t>
            </w:r>
            <w:r>
              <w:rPr>
                <w:rFonts w:ascii="Arial" w:hAnsi="Arial" w:cs="Arial"/>
                <w:sz w:val="18"/>
              </w:rPr>
              <w:t>storage</w:t>
            </w:r>
            <w:r w:rsidRPr="00D30BC1">
              <w:rPr>
                <w:rFonts w:ascii="Arial" w:hAnsi="Arial" w:cs="Arial"/>
                <w:sz w:val="18"/>
              </w:rPr>
              <w:t xml:space="preserve"> efficienc</w:t>
            </w:r>
            <w:r w:rsidR="00913389">
              <w:rPr>
                <w:rFonts w:ascii="Arial" w:hAnsi="Arial" w:cs="Arial"/>
                <w:sz w:val="18"/>
              </w:rPr>
              <w:t>y</w:t>
            </w:r>
            <w:r w:rsidRPr="00D30BC1">
              <w:rPr>
                <w:rFonts w:ascii="Arial" w:hAnsi="Arial" w:cs="Arial"/>
                <w:sz w:val="18"/>
              </w:rPr>
              <w:t xml:space="preserve"> beyond that assumed for Probable.  </w:t>
            </w:r>
          </w:p>
          <w:p w14:paraId="7091ECB5" w14:textId="77777777" w:rsidR="0084589A" w:rsidRPr="00D30BC1" w:rsidRDefault="0084589A" w:rsidP="00D30BC1">
            <w:pPr>
              <w:spacing w:before="60" w:after="60"/>
              <w:jc w:val="both"/>
              <w:rPr>
                <w:rFonts w:ascii="Arial" w:eastAsia="Arial Unicode MS" w:hAnsi="Arial" w:cs="Arial"/>
                <w:sz w:val="18"/>
                <w:szCs w:val="18"/>
              </w:rPr>
            </w:pPr>
          </w:p>
        </w:tc>
      </w:tr>
      <w:tr w:rsidR="0084589A" w:rsidRPr="00D30BC1" w14:paraId="6CF28011" w14:textId="77777777">
        <w:tc>
          <w:tcPr>
            <w:tcW w:w="1620" w:type="dxa"/>
          </w:tcPr>
          <w:p w14:paraId="1AC92A3F" w14:textId="77777777" w:rsidR="0084589A" w:rsidRDefault="0084589A" w:rsidP="001642F3">
            <w:pPr>
              <w:spacing w:before="60" w:after="60"/>
              <w:rPr>
                <w:rFonts w:ascii="Arial" w:eastAsia="Arial Unicode MS" w:hAnsi="Arial" w:cs="Arial"/>
                <w:b/>
                <w:bCs/>
                <w:sz w:val="22"/>
                <w:szCs w:val="18"/>
              </w:rPr>
            </w:pPr>
            <w:r w:rsidRPr="00D30BC1">
              <w:rPr>
                <w:rFonts w:ascii="Arial" w:eastAsia="Arial Unicode MS" w:hAnsi="Arial" w:cs="Arial"/>
                <w:b/>
                <w:bCs/>
                <w:sz w:val="22"/>
                <w:szCs w:val="18"/>
              </w:rPr>
              <w:t xml:space="preserve">Probable and Possible </w:t>
            </w:r>
          </w:p>
          <w:p w14:paraId="326665FD" w14:textId="77777777" w:rsidR="0084589A" w:rsidRPr="00D30BC1" w:rsidRDefault="0084589A" w:rsidP="001642F3">
            <w:pPr>
              <w:spacing w:before="60" w:after="60"/>
              <w:rPr>
                <w:rFonts w:ascii="Arial" w:eastAsia="Arial Unicode MS" w:hAnsi="Arial" w:cs="Arial"/>
                <w:b/>
                <w:bCs/>
                <w:sz w:val="22"/>
                <w:szCs w:val="18"/>
              </w:rPr>
            </w:pPr>
            <w:r>
              <w:rPr>
                <w:rFonts w:ascii="Arial" w:eastAsia="Arial Unicode MS" w:hAnsi="Arial" w:cs="Arial"/>
                <w:b/>
                <w:bCs/>
                <w:sz w:val="22"/>
                <w:szCs w:val="18"/>
              </w:rPr>
              <w:t>Capacity</w:t>
            </w:r>
          </w:p>
        </w:tc>
        <w:tc>
          <w:tcPr>
            <w:tcW w:w="2700" w:type="dxa"/>
          </w:tcPr>
          <w:p w14:paraId="1D63701B" w14:textId="77777777" w:rsidR="0084589A" w:rsidRPr="00D30BC1" w:rsidRDefault="0084589A" w:rsidP="00D30BC1">
            <w:pPr>
              <w:autoSpaceDE w:val="0"/>
              <w:autoSpaceDN w:val="0"/>
              <w:adjustRightInd w:val="0"/>
              <w:rPr>
                <w:rFonts w:ascii="Arial" w:hAnsi="Arial" w:cs="Arial"/>
                <w:sz w:val="18"/>
              </w:rPr>
            </w:pPr>
            <w:r w:rsidRPr="00D30BC1">
              <w:rPr>
                <w:rFonts w:ascii="Arial" w:hAnsi="Arial" w:cs="Arial"/>
                <w:sz w:val="18"/>
              </w:rPr>
              <w:t xml:space="preserve">(See above for separate criteria for Probable </w:t>
            </w:r>
            <w:r>
              <w:rPr>
                <w:rFonts w:ascii="Arial" w:hAnsi="Arial" w:cs="Arial"/>
                <w:sz w:val="18"/>
              </w:rPr>
              <w:t>Capacity</w:t>
            </w:r>
            <w:r w:rsidRPr="00D30BC1" w:rsidDel="009616A6">
              <w:rPr>
                <w:rFonts w:ascii="Arial" w:hAnsi="Arial" w:cs="Arial"/>
                <w:sz w:val="18"/>
              </w:rPr>
              <w:t xml:space="preserve"> </w:t>
            </w:r>
            <w:r w:rsidRPr="00D30BC1">
              <w:rPr>
                <w:rFonts w:ascii="Arial" w:hAnsi="Arial" w:cs="Arial"/>
                <w:sz w:val="18"/>
              </w:rPr>
              <w:t xml:space="preserve">and Possible </w:t>
            </w:r>
            <w:r>
              <w:rPr>
                <w:rFonts w:ascii="Arial" w:hAnsi="Arial" w:cs="Arial"/>
                <w:sz w:val="18"/>
              </w:rPr>
              <w:t>Capacity</w:t>
            </w:r>
            <w:r w:rsidRPr="00D30BC1">
              <w:rPr>
                <w:rFonts w:ascii="Arial" w:hAnsi="Arial" w:cs="Arial"/>
                <w:sz w:val="18"/>
              </w:rPr>
              <w:t>.)</w:t>
            </w:r>
          </w:p>
        </w:tc>
        <w:tc>
          <w:tcPr>
            <w:tcW w:w="5580" w:type="dxa"/>
          </w:tcPr>
          <w:p w14:paraId="0AD08372" w14:textId="77777777" w:rsidR="0084589A" w:rsidRPr="00D30BC1" w:rsidRDefault="0084589A" w:rsidP="00D30BC1">
            <w:pPr>
              <w:jc w:val="both"/>
              <w:rPr>
                <w:rFonts w:ascii="Arial" w:hAnsi="Arial" w:cs="Arial"/>
                <w:sz w:val="18"/>
              </w:rPr>
            </w:pPr>
            <w:r w:rsidRPr="00D30BC1">
              <w:rPr>
                <w:rFonts w:ascii="Arial" w:hAnsi="Arial" w:cs="Arial"/>
                <w:sz w:val="18"/>
              </w:rPr>
              <w:t xml:space="preserve">The 2P and 3P estimates may be based on reasonable alternative technical and commercial interpretations within the </w:t>
            </w:r>
            <w:r>
              <w:rPr>
                <w:rFonts w:ascii="Arial" w:hAnsi="Arial" w:cs="Arial"/>
                <w:sz w:val="18"/>
              </w:rPr>
              <w:t>geologic formation</w:t>
            </w:r>
            <w:r w:rsidRPr="00D30BC1">
              <w:rPr>
                <w:rFonts w:ascii="Arial" w:hAnsi="Arial" w:cs="Arial"/>
                <w:sz w:val="18"/>
              </w:rPr>
              <w:t xml:space="preserve"> and/or subject project that are clearly documented, including comparisons to results in successful similar projects. </w:t>
            </w:r>
          </w:p>
          <w:p w14:paraId="7C4F5266" w14:textId="77777777" w:rsidR="0084589A" w:rsidRPr="00D30BC1" w:rsidRDefault="0084589A" w:rsidP="00D30BC1">
            <w:pPr>
              <w:jc w:val="both"/>
              <w:rPr>
                <w:rFonts w:ascii="Arial" w:hAnsi="Arial" w:cs="Arial"/>
                <w:sz w:val="18"/>
              </w:rPr>
            </w:pPr>
          </w:p>
          <w:p w14:paraId="0A1916C8" w14:textId="77777777" w:rsidR="0084589A" w:rsidRPr="00D30BC1" w:rsidRDefault="0084589A" w:rsidP="00D30BC1">
            <w:pPr>
              <w:jc w:val="both"/>
              <w:rPr>
                <w:rFonts w:ascii="Arial" w:hAnsi="Arial" w:cs="Arial"/>
                <w:sz w:val="18"/>
              </w:rPr>
            </w:pPr>
            <w:r w:rsidRPr="00D30BC1">
              <w:rPr>
                <w:rFonts w:ascii="Arial" w:hAnsi="Arial" w:cs="Arial"/>
                <w:sz w:val="18"/>
              </w:rPr>
              <w:t xml:space="preserve">In conventional accumulations, Probable and/or Possible </w:t>
            </w:r>
            <w:r>
              <w:rPr>
                <w:rFonts w:ascii="Arial" w:hAnsi="Arial" w:cs="Arial"/>
                <w:sz w:val="18"/>
              </w:rPr>
              <w:t>Capacity</w:t>
            </w:r>
            <w:r w:rsidRPr="00D30BC1" w:rsidDel="009616A6">
              <w:rPr>
                <w:rFonts w:ascii="Arial" w:hAnsi="Arial" w:cs="Arial"/>
                <w:sz w:val="18"/>
              </w:rPr>
              <w:t xml:space="preserve"> </w:t>
            </w:r>
            <w:r w:rsidRPr="00D30BC1">
              <w:rPr>
                <w:rFonts w:ascii="Arial" w:hAnsi="Arial" w:cs="Arial"/>
                <w:sz w:val="18"/>
              </w:rPr>
              <w:t xml:space="preserve">may be assigned where geoscience and engineering data identify directly adjacent portions of a </w:t>
            </w:r>
            <w:r>
              <w:rPr>
                <w:rFonts w:ascii="Arial" w:hAnsi="Arial" w:cs="Arial"/>
                <w:sz w:val="18"/>
              </w:rPr>
              <w:t>geologic formation</w:t>
            </w:r>
            <w:r w:rsidRPr="00D30BC1">
              <w:rPr>
                <w:rFonts w:ascii="Arial" w:hAnsi="Arial" w:cs="Arial"/>
                <w:sz w:val="18"/>
              </w:rPr>
              <w:t xml:space="preserve"> that may be separated from Proved areas by minor faulting or other geological discontinuities and have not been penetrated by a wellbore but are interpreted to be in communication with the known (Proved) </w:t>
            </w:r>
            <w:r>
              <w:rPr>
                <w:rFonts w:ascii="Arial" w:hAnsi="Arial" w:cs="Arial"/>
                <w:sz w:val="18"/>
              </w:rPr>
              <w:t>geologic formation</w:t>
            </w:r>
            <w:r w:rsidRPr="00D30BC1">
              <w:rPr>
                <w:rFonts w:ascii="Arial" w:hAnsi="Arial" w:cs="Arial"/>
                <w:sz w:val="18"/>
              </w:rPr>
              <w:t xml:space="preserve">. </w:t>
            </w:r>
            <w:r>
              <w:rPr>
                <w:rFonts w:ascii="Arial" w:hAnsi="Arial" w:cs="Arial"/>
                <w:sz w:val="18"/>
              </w:rPr>
              <w:t xml:space="preserve">In the case of storage in a geologic structure, </w:t>
            </w:r>
            <w:r w:rsidRPr="00D30BC1">
              <w:rPr>
                <w:rFonts w:ascii="Arial" w:hAnsi="Arial" w:cs="Arial"/>
                <w:sz w:val="18"/>
              </w:rPr>
              <w:t xml:space="preserve">Probable or Possible </w:t>
            </w:r>
            <w:r>
              <w:rPr>
                <w:rFonts w:ascii="Arial" w:hAnsi="Arial" w:cs="Arial"/>
                <w:sz w:val="18"/>
              </w:rPr>
              <w:t>Capacity</w:t>
            </w:r>
            <w:r w:rsidRPr="00D30BC1" w:rsidDel="009616A6">
              <w:rPr>
                <w:rFonts w:ascii="Arial" w:hAnsi="Arial" w:cs="Arial"/>
                <w:sz w:val="18"/>
              </w:rPr>
              <w:t xml:space="preserve"> </w:t>
            </w:r>
            <w:r w:rsidRPr="00D30BC1">
              <w:rPr>
                <w:rFonts w:ascii="Arial" w:hAnsi="Arial" w:cs="Arial"/>
                <w:sz w:val="18"/>
              </w:rPr>
              <w:t xml:space="preserve">may be assigned to areas that are structurally higher than the Proved area. Possible (and in some cases, Probable) </w:t>
            </w:r>
            <w:r>
              <w:rPr>
                <w:rFonts w:ascii="Arial" w:hAnsi="Arial" w:cs="Arial"/>
                <w:sz w:val="18"/>
              </w:rPr>
              <w:t>Capacity</w:t>
            </w:r>
            <w:r w:rsidRPr="00D30BC1" w:rsidDel="009616A6">
              <w:rPr>
                <w:rFonts w:ascii="Arial" w:hAnsi="Arial" w:cs="Arial"/>
                <w:sz w:val="18"/>
              </w:rPr>
              <w:t xml:space="preserve"> </w:t>
            </w:r>
            <w:r w:rsidRPr="00D30BC1">
              <w:rPr>
                <w:rFonts w:ascii="Arial" w:hAnsi="Arial" w:cs="Arial"/>
                <w:sz w:val="18"/>
              </w:rPr>
              <w:t>may be assigned to areas that are structurally lower than the adjacent Proved or 2P area.</w:t>
            </w:r>
          </w:p>
          <w:p w14:paraId="7F8BB6B7" w14:textId="77777777" w:rsidR="0084589A" w:rsidRPr="00D30BC1" w:rsidRDefault="0084589A" w:rsidP="00D30BC1">
            <w:pPr>
              <w:jc w:val="both"/>
              <w:rPr>
                <w:rFonts w:ascii="Arial" w:hAnsi="Arial" w:cs="Arial"/>
                <w:sz w:val="18"/>
              </w:rPr>
            </w:pPr>
            <w:r w:rsidRPr="00D30BC1">
              <w:rPr>
                <w:rFonts w:ascii="Arial" w:hAnsi="Arial" w:cs="Arial"/>
                <w:sz w:val="18"/>
              </w:rPr>
              <w:t xml:space="preserve">  </w:t>
            </w:r>
          </w:p>
          <w:p w14:paraId="2DED964C" w14:textId="77777777" w:rsidR="0084589A" w:rsidRPr="00D30BC1" w:rsidRDefault="0084589A" w:rsidP="00D30BC1">
            <w:pPr>
              <w:jc w:val="both"/>
              <w:rPr>
                <w:rFonts w:ascii="Arial" w:hAnsi="Arial" w:cs="Arial"/>
                <w:sz w:val="18"/>
              </w:rPr>
            </w:pPr>
            <w:r w:rsidRPr="00D30BC1">
              <w:rPr>
                <w:rFonts w:ascii="Arial" w:hAnsi="Arial" w:cs="Arial"/>
                <w:sz w:val="18"/>
              </w:rPr>
              <w:t xml:space="preserve">Caution should be exercised in assigning </w:t>
            </w:r>
            <w:r>
              <w:rPr>
                <w:rFonts w:ascii="Arial" w:hAnsi="Arial" w:cs="Arial"/>
                <w:sz w:val="18"/>
              </w:rPr>
              <w:t>Capacity</w:t>
            </w:r>
            <w:r w:rsidRPr="00D30BC1" w:rsidDel="009616A6">
              <w:rPr>
                <w:rFonts w:ascii="Arial" w:hAnsi="Arial" w:cs="Arial"/>
                <w:sz w:val="18"/>
              </w:rPr>
              <w:t xml:space="preserve"> </w:t>
            </w:r>
            <w:r w:rsidRPr="00D30BC1">
              <w:rPr>
                <w:rFonts w:ascii="Arial" w:hAnsi="Arial" w:cs="Arial"/>
                <w:sz w:val="18"/>
              </w:rPr>
              <w:t>to adjacent reservoirs isolated by major, potentially sealing, faults</w:t>
            </w:r>
            <w:r w:rsidRPr="00D30BC1">
              <w:rPr>
                <w:rFonts w:ascii="Arial" w:hAnsi="Arial" w:cs="Arial"/>
                <w:sz w:val="18"/>
                <w:lang w:val="en-CA"/>
              </w:rPr>
              <w:t xml:space="preserve"> </w:t>
            </w:r>
            <w:r w:rsidRPr="00D30BC1">
              <w:rPr>
                <w:rFonts w:ascii="Arial" w:hAnsi="Arial" w:cs="Arial"/>
                <w:sz w:val="18"/>
              </w:rPr>
              <w:t xml:space="preserve">until this </w:t>
            </w:r>
            <w:r>
              <w:rPr>
                <w:rFonts w:ascii="Arial" w:hAnsi="Arial" w:cs="Arial"/>
                <w:sz w:val="18"/>
              </w:rPr>
              <w:t>part of the geologic formation</w:t>
            </w:r>
            <w:r w:rsidRPr="00D30BC1">
              <w:rPr>
                <w:rFonts w:ascii="Arial" w:hAnsi="Arial" w:cs="Arial"/>
                <w:sz w:val="18"/>
              </w:rPr>
              <w:t xml:space="preserve"> is penetrated and evaluated as commercially </w:t>
            </w:r>
            <w:r>
              <w:rPr>
                <w:rFonts w:ascii="Arial" w:hAnsi="Arial" w:cs="Arial"/>
                <w:sz w:val="18"/>
              </w:rPr>
              <w:t>suitable for storage</w:t>
            </w:r>
            <w:r w:rsidRPr="00D30BC1">
              <w:rPr>
                <w:rFonts w:ascii="Arial" w:hAnsi="Arial" w:cs="Arial"/>
                <w:sz w:val="18"/>
              </w:rPr>
              <w:t xml:space="preserve">. Justification for assigning </w:t>
            </w:r>
            <w:r>
              <w:rPr>
                <w:rFonts w:ascii="Arial" w:hAnsi="Arial" w:cs="Arial"/>
                <w:sz w:val="18"/>
              </w:rPr>
              <w:t>Capacity</w:t>
            </w:r>
            <w:r w:rsidRPr="00D30BC1" w:rsidDel="009616A6">
              <w:rPr>
                <w:rFonts w:ascii="Arial" w:hAnsi="Arial" w:cs="Arial"/>
                <w:sz w:val="18"/>
              </w:rPr>
              <w:t xml:space="preserve"> </w:t>
            </w:r>
            <w:r w:rsidRPr="00D30BC1">
              <w:rPr>
                <w:rFonts w:ascii="Arial" w:hAnsi="Arial" w:cs="Arial"/>
                <w:sz w:val="18"/>
              </w:rPr>
              <w:t xml:space="preserve">in such cases should be clearly documented. </w:t>
            </w:r>
            <w:r>
              <w:rPr>
                <w:rFonts w:ascii="Arial" w:hAnsi="Arial" w:cs="Arial"/>
                <w:sz w:val="18"/>
              </w:rPr>
              <w:t>Capacity</w:t>
            </w:r>
            <w:r w:rsidRPr="00D30BC1" w:rsidDel="009616A6">
              <w:rPr>
                <w:rFonts w:ascii="Arial" w:hAnsi="Arial" w:cs="Arial"/>
                <w:sz w:val="18"/>
              </w:rPr>
              <w:t xml:space="preserve"> </w:t>
            </w:r>
            <w:r w:rsidRPr="00D30BC1">
              <w:rPr>
                <w:rFonts w:ascii="Arial" w:hAnsi="Arial" w:cs="Arial"/>
                <w:sz w:val="18"/>
              </w:rPr>
              <w:t xml:space="preserve">should not be assigned to areas that are clearly separated from known </w:t>
            </w:r>
            <w:r>
              <w:rPr>
                <w:rFonts w:ascii="Arial" w:hAnsi="Arial" w:cs="Arial"/>
                <w:sz w:val="18"/>
              </w:rPr>
              <w:t>storage</w:t>
            </w:r>
            <w:r w:rsidRPr="00D30BC1">
              <w:rPr>
                <w:rFonts w:ascii="Arial" w:hAnsi="Arial" w:cs="Arial"/>
                <w:sz w:val="18"/>
              </w:rPr>
              <w:t xml:space="preserve"> by </w:t>
            </w:r>
            <w:r>
              <w:rPr>
                <w:rFonts w:ascii="Arial" w:hAnsi="Arial" w:cs="Arial"/>
                <w:sz w:val="18"/>
              </w:rPr>
              <w:t xml:space="preserve">known parts of the geologic formation without storage </w:t>
            </w:r>
            <w:r w:rsidRPr="00D30BC1">
              <w:rPr>
                <w:rFonts w:ascii="Arial" w:hAnsi="Arial" w:cs="Arial"/>
                <w:sz w:val="18"/>
              </w:rPr>
              <w:t xml:space="preserve">(i.e., absence of </w:t>
            </w:r>
            <w:r>
              <w:rPr>
                <w:rFonts w:ascii="Arial" w:hAnsi="Arial" w:cs="Arial"/>
                <w:sz w:val="18"/>
              </w:rPr>
              <w:t>porosity and permeability</w:t>
            </w:r>
            <w:r w:rsidRPr="00D30BC1">
              <w:rPr>
                <w:rFonts w:ascii="Arial" w:hAnsi="Arial" w:cs="Arial"/>
                <w:sz w:val="18"/>
              </w:rPr>
              <w:t xml:space="preserve"> or negative test results); such areas may contain Prospective Resources.</w:t>
            </w:r>
          </w:p>
          <w:p w14:paraId="0EABB95B" w14:textId="77777777" w:rsidR="0084589A" w:rsidRPr="00D30BC1" w:rsidRDefault="0084589A" w:rsidP="00913389">
            <w:pPr>
              <w:jc w:val="both"/>
              <w:rPr>
                <w:rFonts w:ascii="Arial" w:hAnsi="Arial" w:cs="Arial"/>
                <w:sz w:val="18"/>
              </w:rPr>
            </w:pPr>
          </w:p>
        </w:tc>
      </w:tr>
    </w:tbl>
    <w:p w14:paraId="2E280C3B" w14:textId="77777777" w:rsidR="0084589A" w:rsidRDefault="0084589A"/>
    <w:p w14:paraId="5169F73E" w14:textId="77777777" w:rsidR="0084589A" w:rsidRDefault="0084589A" w:rsidP="0084589A">
      <w:pPr>
        <w:pStyle w:val="Title"/>
        <w:ind w:right="-482"/>
        <w:rPr>
          <w:lang w:val="en-CA"/>
        </w:rPr>
      </w:pPr>
    </w:p>
    <w:p w14:paraId="693EEE1F" w14:textId="77777777" w:rsidR="00BF46B4" w:rsidRPr="00D30BC1" w:rsidRDefault="00BF46B4" w:rsidP="0084589A">
      <w:pPr>
        <w:pStyle w:val="Title"/>
        <w:ind w:right="-482"/>
        <w:rPr>
          <w:sz w:val="28"/>
          <w:szCs w:val="22"/>
        </w:rPr>
      </w:pPr>
      <w:r w:rsidRPr="00D30BC1">
        <w:rPr>
          <w:sz w:val="28"/>
          <w:szCs w:val="22"/>
        </w:rPr>
        <w:br w:type="page"/>
        <w:t>Appendix A: Glossary of Terms Used in Resources Evaluations</w:t>
      </w:r>
    </w:p>
    <w:p w14:paraId="2E420AFB" w14:textId="77777777" w:rsidR="00BF46B4" w:rsidRPr="00D30BC1" w:rsidRDefault="00BF46B4" w:rsidP="00D30BC1">
      <w:pPr>
        <w:spacing w:line="268" w:lineRule="exact"/>
        <w:rPr>
          <w:rFonts w:ascii="Arial" w:hAnsi="Arial"/>
          <w:sz w:val="22"/>
          <w:szCs w:val="22"/>
        </w:rPr>
      </w:pPr>
    </w:p>
    <w:p w14:paraId="36AC125B" w14:textId="77777777" w:rsidR="00BF46B4" w:rsidRPr="00EE4E0E" w:rsidRDefault="00EE4E0E" w:rsidP="00EE4E0E">
      <w:r w:rsidRPr="00D30BC1">
        <w:rPr>
          <w:rFonts w:ascii="Arial" w:hAnsi="Arial" w:cs="Arial"/>
          <w:sz w:val="20"/>
          <w:szCs w:val="22"/>
        </w:rPr>
        <w:t>The</w:t>
      </w:r>
      <w:r>
        <w:rPr>
          <w:rFonts w:ascii="Arial" w:hAnsi="Arial" w:cs="Arial"/>
          <w:sz w:val="20"/>
          <w:szCs w:val="22"/>
        </w:rPr>
        <w:t xml:space="preserve"> </w:t>
      </w:r>
      <w:r w:rsidR="00BF46B4" w:rsidRPr="00D30BC1">
        <w:rPr>
          <w:rFonts w:ascii="Arial" w:hAnsi="Arial" w:cs="Arial"/>
          <w:sz w:val="20"/>
          <w:szCs w:val="22"/>
        </w:rPr>
        <w:t>glossary provides high-level definitions of terms use in resource evaluations. Where appropriate, sections and/or chapters within the 2007 and/or 2001 documents are referenced to best show the use of selected terms in context.</w:t>
      </w:r>
    </w:p>
    <w:p w14:paraId="0248F85E" w14:textId="77777777" w:rsidR="00BF46B4" w:rsidRPr="00D30BC1" w:rsidRDefault="00BF46B4" w:rsidP="00D30BC1">
      <w:pPr>
        <w:rPr>
          <w:rFonts w:ascii="Arial" w:hAnsi="Arial" w:cs="Arial"/>
          <w:sz w:val="20"/>
          <w:szCs w:val="22"/>
        </w:rPr>
      </w:pPr>
      <w:r w:rsidRPr="00D30BC1">
        <w:rPr>
          <w:rFonts w:ascii="Arial" w:hAnsi="Arial" w:cs="Arial"/>
          <w:sz w:val="20"/>
          <w:szCs w:val="20"/>
        </w:rPr>
        <w:t xml:space="preserve">     </w:t>
      </w:r>
      <w:r w:rsidRPr="00D30BC1">
        <w:rPr>
          <w:rFonts w:ascii="Arial" w:hAnsi="Arial" w:cs="Arial"/>
          <w:sz w:val="20"/>
          <w:szCs w:val="22"/>
        </w:rPr>
        <w:t xml:space="preserve">                                                </w:t>
      </w:r>
    </w:p>
    <w:tbl>
      <w:tblPr>
        <w:tblW w:w="972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9"/>
        <w:gridCol w:w="1091"/>
        <w:gridCol w:w="7202"/>
      </w:tblGrid>
      <w:tr w:rsidR="00BF46B4" w:rsidRPr="00D30BC1" w14:paraId="134E8885" w14:textId="77777777">
        <w:trPr>
          <w:trHeight w:val="290"/>
        </w:trPr>
        <w:tc>
          <w:tcPr>
            <w:tcW w:w="142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46CD051" w14:textId="77777777" w:rsidR="00BF46B4" w:rsidRPr="00D30BC1" w:rsidRDefault="00BF46B4" w:rsidP="00D30BC1">
            <w:pPr>
              <w:pStyle w:val="font5"/>
              <w:spacing w:before="0" w:beforeAutospacing="0" w:after="0" w:afterAutospacing="0"/>
              <w:jc w:val="center"/>
              <w:rPr>
                <w:rFonts w:ascii="Arial" w:eastAsia="Times New Roman" w:hAnsi="Arial" w:cs="Arial"/>
                <w:sz w:val="22"/>
                <w:szCs w:val="22"/>
              </w:rPr>
            </w:pPr>
            <w:r w:rsidRPr="00D30BC1">
              <w:rPr>
                <w:rFonts w:ascii="Arial" w:hAnsi="Arial"/>
                <w:b/>
                <w:sz w:val="22"/>
                <w:szCs w:val="22"/>
              </w:rPr>
              <w:t>TERM</w:t>
            </w:r>
          </w:p>
        </w:tc>
        <w:tc>
          <w:tcPr>
            <w:tcW w:w="1091" w:type="dxa"/>
            <w:tcBorders>
              <w:top w:val="single" w:sz="4" w:space="0" w:color="auto"/>
              <w:left w:val="single" w:sz="4" w:space="0" w:color="auto"/>
              <w:bottom w:val="single" w:sz="4" w:space="0" w:color="auto"/>
              <w:right w:val="single" w:sz="4" w:space="0" w:color="auto"/>
            </w:tcBorders>
          </w:tcPr>
          <w:p w14:paraId="1D8086AD" w14:textId="77777777" w:rsidR="00BF46B4" w:rsidRPr="00D30BC1" w:rsidRDefault="00BF46B4" w:rsidP="00D30BC1">
            <w:pPr>
              <w:pStyle w:val="font5"/>
              <w:spacing w:before="0" w:beforeAutospacing="0" w:after="0" w:afterAutospacing="0"/>
              <w:rPr>
                <w:rFonts w:ascii="Arial" w:hAnsi="Arial"/>
                <w:b/>
                <w:sz w:val="18"/>
                <w:szCs w:val="22"/>
              </w:rPr>
            </w:pPr>
            <w:r w:rsidRPr="00D30BC1">
              <w:rPr>
                <w:rFonts w:ascii="Arial" w:hAnsi="Arial"/>
                <w:b/>
                <w:sz w:val="18"/>
                <w:szCs w:val="22"/>
              </w:rPr>
              <w:t xml:space="preserve">Reference  </w:t>
            </w:r>
          </w:p>
          <w:p w14:paraId="66BB5DC2" w14:textId="77777777" w:rsidR="00BF46B4" w:rsidRPr="00D30BC1" w:rsidRDefault="00BF46B4" w:rsidP="00D30BC1">
            <w:pPr>
              <w:pStyle w:val="font5"/>
              <w:spacing w:before="0" w:beforeAutospacing="0" w:after="0" w:afterAutospacing="0"/>
              <w:rPr>
                <w:rFonts w:ascii="Arial" w:hAnsi="Arial"/>
                <w:b/>
                <w:sz w:val="18"/>
                <w:szCs w:val="22"/>
              </w:rPr>
            </w:pPr>
          </w:p>
        </w:tc>
        <w:tc>
          <w:tcPr>
            <w:tcW w:w="720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3D08BD2F" w14:textId="77777777" w:rsidR="00BF46B4" w:rsidRPr="00D30BC1" w:rsidRDefault="00BF46B4" w:rsidP="00D30BC1">
            <w:pPr>
              <w:pStyle w:val="font5"/>
              <w:spacing w:before="0" w:beforeAutospacing="0" w:after="0" w:afterAutospacing="0"/>
              <w:jc w:val="center"/>
              <w:rPr>
                <w:rFonts w:ascii="Arial" w:eastAsia="Times New Roman" w:hAnsi="Arial" w:cs="Arial"/>
                <w:sz w:val="22"/>
                <w:szCs w:val="22"/>
              </w:rPr>
            </w:pPr>
            <w:r w:rsidRPr="00D30BC1">
              <w:rPr>
                <w:rFonts w:ascii="Arial" w:hAnsi="Arial"/>
                <w:b/>
                <w:sz w:val="22"/>
                <w:szCs w:val="22"/>
              </w:rPr>
              <w:t>DEFINITION</w:t>
            </w:r>
          </w:p>
        </w:tc>
      </w:tr>
      <w:tr w:rsidR="00BF46B4" w:rsidRPr="00D30BC1" w14:paraId="4392BE2B" w14:textId="77777777">
        <w:trPr>
          <w:trHeight w:val="288"/>
        </w:trPr>
        <w:tc>
          <w:tcPr>
            <w:tcW w:w="1429" w:type="dxa"/>
            <w:tcMar>
              <w:top w:w="15" w:type="dxa"/>
              <w:left w:w="15" w:type="dxa"/>
              <w:bottom w:w="0" w:type="dxa"/>
              <w:right w:w="15" w:type="dxa"/>
            </w:tcMar>
          </w:tcPr>
          <w:p w14:paraId="46D824FE" w14:textId="77777777" w:rsidR="00BF46B4" w:rsidRPr="00D30BC1" w:rsidRDefault="00BF46B4" w:rsidP="00D30BC1">
            <w:pPr>
              <w:rPr>
                <w:rFonts w:ascii="Arial" w:hAnsi="Arial" w:cs="Arial"/>
                <w:sz w:val="20"/>
                <w:szCs w:val="22"/>
              </w:rPr>
            </w:pPr>
            <w:r w:rsidRPr="00D30BC1">
              <w:rPr>
                <w:rFonts w:ascii="Arial" w:hAnsi="Arial" w:cs="Arial"/>
                <w:sz w:val="20"/>
                <w:szCs w:val="22"/>
              </w:rPr>
              <w:t>1C</w:t>
            </w:r>
          </w:p>
        </w:tc>
        <w:tc>
          <w:tcPr>
            <w:tcW w:w="1091" w:type="dxa"/>
          </w:tcPr>
          <w:p w14:paraId="6D0FF378" w14:textId="77777777" w:rsidR="00BF46B4" w:rsidRPr="00D30BC1" w:rsidRDefault="00BF46B4" w:rsidP="00D30BC1">
            <w:pPr>
              <w:pStyle w:val="font5"/>
              <w:spacing w:before="0" w:beforeAutospacing="0" w:after="0" w:afterAutospacing="0"/>
              <w:rPr>
                <w:rFonts w:ascii="Arial" w:eastAsia="Times New Roman" w:hAnsi="Arial" w:cs="Arial"/>
                <w:sz w:val="18"/>
                <w:szCs w:val="22"/>
              </w:rPr>
            </w:pPr>
            <w:r w:rsidRPr="00D30BC1">
              <w:rPr>
                <w:rFonts w:ascii="Arial" w:eastAsia="Times New Roman" w:hAnsi="Arial" w:cs="Arial"/>
                <w:sz w:val="18"/>
                <w:szCs w:val="22"/>
              </w:rPr>
              <w:t>2007 - 2.2.2</w:t>
            </w:r>
          </w:p>
        </w:tc>
        <w:tc>
          <w:tcPr>
            <w:tcW w:w="7202" w:type="dxa"/>
            <w:tcMar>
              <w:top w:w="15" w:type="dxa"/>
              <w:left w:w="15" w:type="dxa"/>
              <w:bottom w:w="0" w:type="dxa"/>
              <w:right w:w="15" w:type="dxa"/>
            </w:tcMar>
          </w:tcPr>
          <w:p w14:paraId="17FC4293" w14:textId="77777777" w:rsidR="00BF46B4" w:rsidRPr="00D30BC1" w:rsidRDefault="00BF46B4" w:rsidP="00D30BC1">
            <w:pPr>
              <w:pStyle w:val="CommentText"/>
              <w:spacing w:after="120"/>
              <w:rPr>
                <w:rFonts w:ascii="Arial" w:hAnsi="Arial" w:cs="Arial"/>
                <w:szCs w:val="22"/>
              </w:rPr>
            </w:pPr>
            <w:r w:rsidRPr="00D30BC1">
              <w:rPr>
                <w:rFonts w:ascii="Arial" w:hAnsi="Arial" w:cs="Arial"/>
                <w:szCs w:val="22"/>
              </w:rPr>
              <w:t>Denotes low estimate scenario of Contingent Resources.</w:t>
            </w:r>
          </w:p>
        </w:tc>
      </w:tr>
      <w:tr w:rsidR="00BF46B4" w:rsidRPr="00D30BC1" w14:paraId="2C6BB318" w14:textId="77777777">
        <w:trPr>
          <w:trHeight w:val="338"/>
        </w:trPr>
        <w:tc>
          <w:tcPr>
            <w:tcW w:w="1429" w:type="dxa"/>
            <w:tcMar>
              <w:top w:w="15" w:type="dxa"/>
              <w:left w:w="15" w:type="dxa"/>
              <w:bottom w:w="0" w:type="dxa"/>
              <w:right w:w="15" w:type="dxa"/>
            </w:tcMar>
          </w:tcPr>
          <w:p w14:paraId="6F965D5F" w14:textId="77777777" w:rsidR="00BF46B4" w:rsidRPr="00D30BC1" w:rsidRDefault="00BF46B4" w:rsidP="00D30BC1">
            <w:pPr>
              <w:rPr>
                <w:rFonts w:ascii="Arial" w:hAnsi="Arial" w:cs="Arial"/>
                <w:sz w:val="20"/>
                <w:szCs w:val="22"/>
              </w:rPr>
            </w:pPr>
            <w:r w:rsidRPr="00D30BC1">
              <w:rPr>
                <w:rFonts w:ascii="Arial" w:hAnsi="Arial" w:cs="Arial"/>
                <w:sz w:val="20"/>
                <w:szCs w:val="22"/>
              </w:rPr>
              <w:t>2C</w:t>
            </w:r>
          </w:p>
        </w:tc>
        <w:tc>
          <w:tcPr>
            <w:tcW w:w="1091" w:type="dxa"/>
          </w:tcPr>
          <w:p w14:paraId="7688F8F9" w14:textId="77777777" w:rsidR="00BF46B4" w:rsidRPr="00D30BC1" w:rsidRDefault="00BF46B4" w:rsidP="00D30BC1">
            <w:pPr>
              <w:pStyle w:val="CommentText"/>
              <w:rPr>
                <w:rFonts w:ascii="Arial" w:hAnsi="Arial" w:cs="Arial"/>
                <w:sz w:val="18"/>
                <w:szCs w:val="22"/>
              </w:rPr>
            </w:pPr>
            <w:r w:rsidRPr="00D30BC1">
              <w:rPr>
                <w:rFonts w:ascii="Arial" w:hAnsi="Arial" w:cs="Arial"/>
                <w:sz w:val="18"/>
                <w:szCs w:val="22"/>
              </w:rPr>
              <w:t>2007 - 2.2.2</w:t>
            </w:r>
          </w:p>
        </w:tc>
        <w:tc>
          <w:tcPr>
            <w:tcW w:w="7202" w:type="dxa"/>
            <w:tcMar>
              <w:top w:w="15" w:type="dxa"/>
              <w:left w:w="15" w:type="dxa"/>
              <w:bottom w:w="0" w:type="dxa"/>
              <w:right w:w="15" w:type="dxa"/>
            </w:tcMar>
          </w:tcPr>
          <w:p w14:paraId="7FC46536"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Denotes best estimate scenario of Contingent Resources.</w:t>
            </w:r>
          </w:p>
        </w:tc>
      </w:tr>
      <w:tr w:rsidR="00BF46B4" w:rsidRPr="00D30BC1" w14:paraId="76781756" w14:textId="77777777">
        <w:trPr>
          <w:trHeight w:val="322"/>
        </w:trPr>
        <w:tc>
          <w:tcPr>
            <w:tcW w:w="1429" w:type="dxa"/>
            <w:tcMar>
              <w:top w:w="15" w:type="dxa"/>
              <w:left w:w="15" w:type="dxa"/>
              <w:bottom w:w="0" w:type="dxa"/>
              <w:right w:w="15" w:type="dxa"/>
            </w:tcMar>
          </w:tcPr>
          <w:p w14:paraId="3AC2578A" w14:textId="77777777" w:rsidR="00BF46B4" w:rsidRPr="00D30BC1" w:rsidRDefault="00BF46B4" w:rsidP="00D30BC1">
            <w:pPr>
              <w:rPr>
                <w:rFonts w:ascii="Arial" w:hAnsi="Arial" w:cs="Arial"/>
                <w:sz w:val="20"/>
                <w:szCs w:val="22"/>
              </w:rPr>
            </w:pPr>
            <w:r w:rsidRPr="00D30BC1">
              <w:rPr>
                <w:rFonts w:ascii="Arial" w:hAnsi="Arial" w:cs="Arial"/>
                <w:sz w:val="20"/>
                <w:szCs w:val="22"/>
              </w:rPr>
              <w:t>3C</w:t>
            </w:r>
          </w:p>
        </w:tc>
        <w:tc>
          <w:tcPr>
            <w:tcW w:w="1091" w:type="dxa"/>
          </w:tcPr>
          <w:p w14:paraId="4CA52F56" w14:textId="77777777" w:rsidR="00BF46B4" w:rsidRPr="00D30BC1" w:rsidRDefault="00BF46B4" w:rsidP="00D30BC1">
            <w:pPr>
              <w:rPr>
                <w:rFonts w:ascii="Arial" w:hAnsi="Arial" w:cs="Arial"/>
                <w:sz w:val="18"/>
                <w:szCs w:val="22"/>
              </w:rPr>
            </w:pPr>
            <w:r w:rsidRPr="00D30BC1">
              <w:rPr>
                <w:rFonts w:ascii="Arial" w:hAnsi="Arial" w:cs="Arial"/>
                <w:sz w:val="18"/>
                <w:szCs w:val="22"/>
              </w:rPr>
              <w:t>2007 - 2.2.2</w:t>
            </w:r>
          </w:p>
        </w:tc>
        <w:tc>
          <w:tcPr>
            <w:tcW w:w="7202" w:type="dxa"/>
            <w:tcMar>
              <w:top w:w="15" w:type="dxa"/>
              <w:left w:w="15" w:type="dxa"/>
              <w:bottom w:w="0" w:type="dxa"/>
              <w:right w:w="15" w:type="dxa"/>
            </w:tcMar>
          </w:tcPr>
          <w:p w14:paraId="7815C6C9"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Denotes high estimate scenario of Contingent Resources.</w:t>
            </w:r>
          </w:p>
        </w:tc>
      </w:tr>
      <w:tr w:rsidR="00BF46B4" w:rsidRPr="00D30BC1" w14:paraId="34FC8637" w14:textId="77777777">
        <w:trPr>
          <w:trHeight w:val="525"/>
        </w:trPr>
        <w:tc>
          <w:tcPr>
            <w:tcW w:w="1429" w:type="dxa"/>
            <w:tcMar>
              <w:top w:w="15" w:type="dxa"/>
              <w:left w:w="15" w:type="dxa"/>
              <w:bottom w:w="0" w:type="dxa"/>
              <w:right w:w="15" w:type="dxa"/>
            </w:tcMar>
          </w:tcPr>
          <w:p w14:paraId="78242411" w14:textId="77777777" w:rsidR="00BF46B4" w:rsidRPr="00D30BC1" w:rsidRDefault="00BF46B4" w:rsidP="00D30BC1">
            <w:pPr>
              <w:rPr>
                <w:rFonts w:ascii="Arial" w:hAnsi="Arial" w:cs="Arial"/>
                <w:sz w:val="20"/>
                <w:szCs w:val="22"/>
              </w:rPr>
            </w:pPr>
            <w:r w:rsidRPr="00D30BC1">
              <w:rPr>
                <w:rFonts w:ascii="Arial" w:hAnsi="Arial" w:cs="Arial"/>
                <w:sz w:val="20"/>
                <w:szCs w:val="22"/>
              </w:rPr>
              <w:t>1P</w:t>
            </w:r>
          </w:p>
        </w:tc>
        <w:tc>
          <w:tcPr>
            <w:tcW w:w="1091" w:type="dxa"/>
          </w:tcPr>
          <w:p w14:paraId="1D889AB0" w14:textId="77777777" w:rsidR="00BF46B4" w:rsidRPr="00D30BC1" w:rsidRDefault="00BF46B4" w:rsidP="00D30BC1">
            <w:pPr>
              <w:pStyle w:val="font5"/>
              <w:spacing w:before="0" w:beforeAutospacing="0" w:after="0" w:afterAutospacing="0"/>
              <w:rPr>
                <w:rFonts w:ascii="Arial" w:eastAsia="Times New Roman" w:hAnsi="Arial" w:cs="Arial"/>
                <w:sz w:val="18"/>
                <w:szCs w:val="22"/>
              </w:rPr>
            </w:pPr>
            <w:r w:rsidRPr="00D30BC1">
              <w:rPr>
                <w:rFonts w:ascii="Arial" w:eastAsia="Times New Roman" w:hAnsi="Arial" w:cs="Arial"/>
                <w:sz w:val="18"/>
                <w:szCs w:val="22"/>
              </w:rPr>
              <w:t>2007 - 2.2.2</w:t>
            </w:r>
          </w:p>
        </w:tc>
        <w:tc>
          <w:tcPr>
            <w:tcW w:w="7202" w:type="dxa"/>
            <w:tcMar>
              <w:top w:w="15" w:type="dxa"/>
              <w:left w:w="15" w:type="dxa"/>
              <w:bottom w:w="0" w:type="dxa"/>
              <w:right w:w="15" w:type="dxa"/>
            </w:tcMar>
          </w:tcPr>
          <w:p w14:paraId="1CA304D1" w14:textId="73A7A7D0" w:rsidR="00BF46B4" w:rsidRPr="00D30BC1" w:rsidRDefault="00BF46B4" w:rsidP="001E0235">
            <w:pPr>
              <w:pStyle w:val="CommentText"/>
              <w:spacing w:after="120"/>
              <w:rPr>
                <w:rFonts w:ascii="Arial" w:hAnsi="Arial" w:cs="Arial"/>
                <w:szCs w:val="22"/>
              </w:rPr>
            </w:pPr>
            <w:r w:rsidRPr="00D30BC1">
              <w:rPr>
                <w:rFonts w:ascii="Arial" w:hAnsi="Arial" w:cs="Arial"/>
                <w:szCs w:val="22"/>
              </w:rPr>
              <w:t xml:space="preserve">Taken to be equivalent to Proved </w:t>
            </w:r>
            <w:r w:rsidR="001E0235">
              <w:rPr>
                <w:rFonts w:ascii="Arial" w:hAnsi="Arial" w:cs="Arial"/>
                <w:szCs w:val="22"/>
              </w:rPr>
              <w:t>Capacity</w:t>
            </w:r>
            <w:r w:rsidRPr="00D30BC1">
              <w:rPr>
                <w:rFonts w:ascii="Arial" w:hAnsi="Arial" w:cs="Arial"/>
                <w:szCs w:val="22"/>
              </w:rPr>
              <w:t xml:space="preserve">; denotes low estimate scenario of </w:t>
            </w:r>
            <w:r w:rsidR="001E0235">
              <w:rPr>
                <w:rFonts w:ascii="Arial" w:hAnsi="Arial" w:cs="Arial"/>
                <w:szCs w:val="22"/>
              </w:rPr>
              <w:t>Capacity</w:t>
            </w:r>
            <w:r w:rsidRPr="00D30BC1">
              <w:rPr>
                <w:rFonts w:ascii="Arial" w:hAnsi="Arial" w:cs="Arial"/>
                <w:szCs w:val="22"/>
              </w:rPr>
              <w:t>.</w:t>
            </w:r>
          </w:p>
        </w:tc>
      </w:tr>
      <w:tr w:rsidR="00BF46B4" w:rsidRPr="00D30BC1" w14:paraId="6D1BB8E2" w14:textId="77777777">
        <w:trPr>
          <w:trHeight w:val="576"/>
        </w:trPr>
        <w:tc>
          <w:tcPr>
            <w:tcW w:w="1429" w:type="dxa"/>
            <w:tcMar>
              <w:top w:w="15" w:type="dxa"/>
              <w:left w:w="15" w:type="dxa"/>
              <w:bottom w:w="0" w:type="dxa"/>
              <w:right w:w="15" w:type="dxa"/>
            </w:tcMar>
          </w:tcPr>
          <w:p w14:paraId="56B5BFF9" w14:textId="77777777" w:rsidR="00BF46B4" w:rsidRPr="00D30BC1" w:rsidRDefault="00BF46B4" w:rsidP="00D30BC1">
            <w:pPr>
              <w:rPr>
                <w:rFonts w:ascii="Arial" w:hAnsi="Arial" w:cs="Arial"/>
                <w:sz w:val="20"/>
                <w:szCs w:val="22"/>
              </w:rPr>
            </w:pPr>
            <w:r w:rsidRPr="00D30BC1">
              <w:rPr>
                <w:rFonts w:ascii="Arial" w:hAnsi="Arial" w:cs="Arial"/>
                <w:sz w:val="20"/>
                <w:szCs w:val="22"/>
              </w:rPr>
              <w:t>2P</w:t>
            </w:r>
          </w:p>
        </w:tc>
        <w:tc>
          <w:tcPr>
            <w:tcW w:w="1091" w:type="dxa"/>
          </w:tcPr>
          <w:p w14:paraId="1592A50D" w14:textId="77777777" w:rsidR="00BF46B4" w:rsidRPr="00D30BC1" w:rsidRDefault="00BF46B4" w:rsidP="00D30BC1">
            <w:pPr>
              <w:rPr>
                <w:rFonts w:ascii="Arial" w:hAnsi="Arial" w:cs="Arial"/>
                <w:sz w:val="18"/>
                <w:szCs w:val="22"/>
              </w:rPr>
            </w:pPr>
            <w:r w:rsidRPr="00D30BC1">
              <w:rPr>
                <w:rFonts w:ascii="Arial" w:hAnsi="Arial" w:cs="Arial"/>
                <w:sz w:val="18"/>
                <w:szCs w:val="22"/>
              </w:rPr>
              <w:t>2007 - 2.2.2</w:t>
            </w:r>
          </w:p>
        </w:tc>
        <w:tc>
          <w:tcPr>
            <w:tcW w:w="7202" w:type="dxa"/>
            <w:tcMar>
              <w:top w:w="15" w:type="dxa"/>
              <w:left w:w="15" w:type="dxa"/>
              <w:bottom w:w="0" w:type="dxa"/>
              <w:right w:w="15" w:type="dxa"/>
            </w:tcMar>
          </w:tcPr>
          <w:p w14:paraId="35D2A549" w14:textId="4596F3FF" w:rsidR="00BF46B4" w:rsidRPr="00D30BC1" w:rsidRDefault="00BF46B4" w:rsidP="00D30BC1">
            <w:pPr>
              <w:spacing w:after="120"/>
              <w:rPr>
                <w:rFonts w:ascii="Arial" w:hAnsi="Arial" w:cs="Arial"/>
                <w:sz w:val="20"/>
                <w:szCs w:val="22"/>
              </w:rPr>
            </w:pPr>
            <w:r w:rsidRPr="00D30BC1">
              <w:rPr>
                <w:rFonts w:ascii="Arial" w:hAnsi="Arial" w:cs="Arial"/>
                <w:sz w:val="20"/>
                <w:szCs w:val="22"/>
              </w:rPr>
              <w:t xml:space="preserve">Taken to be equivalent to the sum of Proved plus Probable </w:t>
            </w:r>
            <w:r w:rsidR="001E0235" w:rsidRPr="001E0235">
              <w:rPr>
                <w:rFonts w:ascii="Arial" w:hAnsi="Arial" w:cs="Arial"/>
                <w:sz w:val="20"/>
                <w:szCs w:val="22"/>
              </w:rPr>
              <w:t>Capacity</w:t>
            </w:r>
            <w:r w:rsidRPr="00D30BC1">
              <w:rPr>
                <w:rFonts w:ascii="Arial" w:hAnsi="Arial" w:cs="Arial"/>
                <w:sz w:val="20"/>
                <w:szCs w:val="22"/>
              </w:rPr>
              <w:t xml:space="preserve">; denotes best estimate scenario of </w:t>
            </w:r>
            <w:r w:rsidR="001E0235" w:rsidRPr="001E0235">
              <w:rPr>
                <w:rFonts w:ascii="Arial" w:hAnsi="Arial" w:cs="Arial"/>
                <w:sz w:val="20"/>
                <w:szCs w:val="22"/>
              </w:rPr>
              <w:t>Capacity</w:t>
            </w:r>
            <w:r w:rsidRPr="00D30BC1">
              <w:rPr>
                <w:rFonts w:ascii="Arial" w:hAnsi="Arial" w:cs="Arial"/>
                <w:sz w:val="20"/>
                <w:szCs w:val="22"/>
              </w:rPr>
              <w:t>.</w:t>
            </w:r>
          </w:p>
        </w:tc>
      </w:tr>
      <w:tr w:rsidR="00BF46B4" w:rsidRPr="00D30BC1" w14:paraId="2964EF86" w14:textId="77777777">
        <w:trPr>
          <w:trHeight w:val="623"/>
        </w:trPr>
        <w:tc>
          <w:tcPr>
            <w:tcW w:w="1429" w:type="dxa"/>
            <w:tcMar>
              <w:top w:w="15" w:type="dxa"/>
              <w:left w:w="15" w:type="dxa"/>
              <w:bottom w:w="0" w:type="dxa"/>
              <w:right w:w="15" w:type="dxa"/>
            </w:tcMar>
          </w:tcPr>
          <w:p w14:paraId="5B90AE5C" w14:textId="77777777" w:rsidR="00BF46B4" w:rsidRPr="00D30BC1" w:rsidRDefault="00BF46B4" w:rsidP="00D30BC1">
            <w:pPr>
              <w:rPr>
                <w:rFonts w:ascii="Arial" w:hAnsi="Arial" w:cs="Arial"/>
                <w:sz w:val="20"/>
                <w:szCs w:val="22"/>
              </w:rPr>
            </w:pPr>
            <w:r w:rsidRPr="00D30BC1">
              <w:rPr>
                <w:rFonts w:ascii="Arial" w:hAnsi="Arial" w:cs="Arial"/>
                <w:sz w:val="20"/>
                <w:szCs w:val="22"/>
              </w:rPr>
              <w:t>3P</w:t>
            </w:r>
          </w:p>
        </w:tc>
        <w:tc>
          <w:tcPr>
            <w:tcW w:w="1091" w:type="dxa"/>
          </w:tcPr>
          <w:p w14:paraId="587DEDCA" w14:textId="77777777" w:rsidR="00BF46B4" w:rsidRPr="00D30BC1" w:rsidRDefault="00BF46B4" w:rsidP="00D30BC1">
            <w:pPr>
              <w:rPr>
                <w:rFonts w:ascii="Arial" w:hAnsi="Arial" w:cs="Arial"/>
                <w:sz w:val="18"/>
                <w:szCs w:val="22"/>
              </w:rPr>
            </w:pPr>
            <w:r w:rsidRPr="00D30BC1">
              <w:rPr>
                <w:rFonts w:ascii="Arial" w:hAnsi="Arial" w:cs="Arial"/>
                <w:sz w:val="18"/>
                <w:szCs w:val="22"/>
              </w:rPr>
              <w:t>2007 - 2.2.2</w:t>
            </w:r>
          </w:p>
        </w:tc>
        <w:tc>
          <w:tcPr>
            <w:tcW w:w="7202" w:type="dxa"/>
            <w:tcMar>
              <w:top w:w="15" w:type="dxa"/>
              <w:left w:w="15" w:type="dxa"/>
              <w:bottom w:w="0" w:type="dxa"/>
              <w:right w:w="15" w:type="dxa"/>
            </w:tcMar>
          </w:tcPr>
          <w:p w14:paraId="72184D93" w14:textId="21AE9846" w:rsidR="00BF46B4" w:rsidRPr="00D30BC1" w:rsidRDefault="00BF46B4" w:rsidP="00D30BC1">
            <w:pPr>
              <w:spacing w:after="120"/>
              <w:rPr>
                <w:rFonts w:ascii="Arial" w:hAnsi="Arial" w:cs="Arial"/>
                <w:sz w:val="20"/>
                <w:szCs w:val="22"/>
              </w:rPr>
            </w:pPr>
            <w:r w:rsidRPr="00D30BC1">
              <w:rPr>
                <w:rFonts w:ascii="Arial" w:hAnsi="Arial" w:cs="Arial"/>
                <w:sz w:val="20"/>
                <w:szCs w:val="22"/>
              </w:rPr>
              <w:t xml:space="preserve">Taken to be equivalent to the sum of Proved plus Probable plus Possible </w:t>
            </w:r>
            <w:r w:rsidR="001E0235" w:rsidRPr="001E0235">
              <w:rPr>
                <w:rFonts w:ascii="Arial" w:hAnsi="Arial" w:cs="Arial"/>
                <w:sz w:val="20"/>
                <w:szCs w:val="22"/>
              </w:rPr>
              <w:t>Capacity</w:t>
            </w:r>
            <w:r w:rsidRPr="00D30BC1">
              <w:rPr>
                <w:rFonts w:ascii="Arial" w:hAnsi="Arial" w:cs="Arial"/>
                <w:sz w:val="20"/>
                <w:szCs w:val="22"/>
              </w:rPr>
              <w:t>; denotes high estimate scenario of reserves.</w:t>
            </w:r>
          </w:p>
        </w:tc>
      </w:tr>
      <w:tr w:rsidR="00BF46B4" w:rsidRPr="00D30BC1" w14:paraId="13F4AA51" w14:textId="77777777">
        <w:trPr>
          <w:trHeight w:val="224"/>
        </w:trPr>
        <w:tc>
          <w:tcPr>
            <w:tcW w:w="1429" w:type="dxa"/>
            <w:tcMar>
              <w:top w:w="15" w:type="dxa"/>
              <w:left w:w="15" w:type="dxa"/>
              <w:bottom w:w="0" w:type="dxa"/>
              <w:right w:w="15" w:type="dxa"/>
            </w:tcMar>
          </w:tcPr>
          <w:p w14:paraId="2045A98B"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Accumulation</w:t>
            </w:r>
          </w:p>
        </w:tc>
        <w:tc>
          <w:tcPr>
            <w:tcW w:w="1091" w:type="dxa"/>
          </w:tcPr>
          <w:p w14:paraId="2B860660" w14:textId="77777777" w:rsidR="00BF46B4" w:rsidRPr="00D30BC1" w:rsidRDefault="00BF46B4" w:rsidP="00D30BC1">
            <w:pPr>
              <w:pStyle w:val="CommentText"/>
              <w:rPr>
                <w:rFonts w:ascii="Arial" w:hAnsi="Arial" w:cs="Arial"/>
                <w:sz w:val="18"/>
                <w:szCs w:val="22"/>
              </w:rPr>
            </w:pPr>
            <w:r w:rsidRPr="00D30BC1">
              <w:rPr>
                <w:rFonts w:ascii="Arial" w:hAnsi="Arial" w:cs="Arial"/>
                <w:sz w:val="18"/>
                <w:szCs w:val="22"/>
              </w:rPr>
              <w:t>2001 - 2.3</w:t>
            </w:r>
          </w:p>
        </w:tc>
        <w:tc>
          <w:tcPr>
            <w:tcW w:w="7202" w:type="dxa"/>
            <w:tcMar>
              <w:top w:w="15" w:type="dxa"/>
              <w:left w:w="15" w:type="dxa"/>
              <w:bottom w:w="0" w:type="dxa"/>
              <w:right w:w="15" w:type="dxa"/>
            </w:tcMar>
          </w:tcPr>
          <w:p w14:paraId="4FAF5249" w14:textId="77777777" w:rsidR="00BF46B4" w:rsidRPr="00D30BC1" w:rsidRDefault="00BF46B4" w:rsidP="00D30BC1">
            <w:pPr>
              <w:spacing w:after="120"/>
              <w:rPr>
                <w:rFonts w:ascii="Arial" w:hAnsi="Arial" w:cs="Arial"/>
                <w:strike/>
                <w:sz w:val="20"/>
                <w:szCs w:val="22"/>
              </w:rPr>
            </w:pPr>
            <w:r w:rsidRPr="00D30BC1">
              <w:rPr>
                <w:rFonts w:ascii="Arial" w:hAnsi="Arial" w:cs="Arial"/>
                <w:sz w:val="20"/>
                <w:szCs w:val="22"/>
              </w:rPr>
              <w:t xml:space="preserve">An individual body of naturally occurring petroleum in a reservoir. </w:t>
            </w:r>
          </w:p>
        </w:tc>
      </w:tr>
      <w:tr w:rsidR="00BF46B4" w:rsidRPr="00D30BC1" w14:paraId="19CC327D" w14:textId="77777777">
        <w:trPr>
          <w:trHeight w:val="224"/>
        </w:trPr>
        <w:tc>
          <w:tcPr>
            <w:tcW w:w="1429" w:type="dxa"/>
            <w:tcMar>
              <w:top w:w="15" w:type="dxa"/>
              <w:left w:w="15" w:type="dxa"/>
              <w:bottom w:w="0" w:type="dxa"/>
              <w:right w:w="15" w:type="dxa"/>
            </w:tcMar>
          </w:tcPr>
          <w:p w14:paraId="2C369934" w14:textId="77777777" w:rsidR="00BF46B4" w:rsidRPr="00D30BC1" w:rsidRDefault="00BF46B4" w:rsidP="00D30BC1">
            <w:pPr>
              <w:rPr>
                <w:rFonts w:ascii="Arial" w:hAnsi="Arial" w:cs="Arial"/>
                <w:sz w:val="20"/>
                <w:szCs w:val="22"/>
              </w:rPr>
            </w:pPr>
            <w:r w:rsidRPr="00D30BC1">
              <w:rPr>
                <w:rFonts w:ascii="Arial" w:hAnsi="Arial" w:cs="Arial"/>
                <w:sz w:val="20"/>
                <w:szCs w:val="22"/>
              </w:rPr>
              <w:t>Aggregation</w:t>
            </w:r>
          </w:p>
          <w:p w14:paraId="45A02713" w14:textId="77777777" w:rsidR="00BF46B4" w:rsidRPr="00D30BC1" w:rsidRDefault="00BF46B4" w:rsidP="00D30BC1">
            <w:pPr>
              <w:rPr>
                <w:rFonts w:ascii="Arial" w:hAnsi="Arial" w:cs="Arial"/>
                <w:sz w:val="20"/>
                <w:szCs w:val="22"/>
              </w:rPr>
            </w:pPr>
          </w:p>
        </w:tc>
        <w:tc>
          <w:tcPr>
            <w:tcW w:w="1091" w:type="dxa"/>
          </w:tcPr>
          <w:p w14:paraId="2C07CCCF" w14:textId="77777777" w:rsidR="00BF46B4" w:rsidRPr="00D30BC1" w:rsidRDefault="00BF46B4" w:rsidP="00D30BC1">
            <w:pPr>
              <w:rPr>
                <w:rFonts w:ascii="Arial" w:hAnsi="Arial" w:cs="Arial"/>
                <w:sz w:val="18"/>
                <w:szCs w:val="22"/>
              </w:rPr>
            </w:pPr>
            <w:r w:rsidRPr="00D30BC1">
              <w:rPr>
                <w:rFonts w:ascii="Arial" w:hAnsi="Arial" w:cs="Arial"/>
                <w:sz w:val="18"/>
                <w:szCs w:val="22"/>
              </w:rPr>
              <w:t>2007 - 3.5.1</w:t>
            </w:r>
          </w:p>
          <w:p w14:paraId="4248F0EC" w14:textId="77777777" w:rsidR="00BF46B4" w:rsidRPr="00D30BC1" w:rsidRDefault="00BF46B4" w:rsidP="00D30BC1">
            <w:pPr>
              <w:rPr>
                <w:rFonts w:ascii="Arial" w:hAnsi="Arial" w:cs="Arial"/>
                <w:sz w:val="18"/>
                <w:szCs w:val="22"/>
              </w:rPr>
            </w:pPr>
            <w:r w:rsidRPr="00D30BC1">
              <w:rPr>
                <w:rFonts w:ascii="Arial" w:hAnsi="Arial" w:cs="Arial"/>
                <w:sz w:val="18"/>
                <w:szCs w:val="22"/>
              </w:rPr>
              <w:t>2001 - 6</w:t>
            </w:r>
          </w:p>
        </w:tc>
        <w:tc>
          <w:tcPr>
            <w:tcW w:w="7202" w:type="dxa"/>
            <w:tcMar>
              <w:top w:w="15" w:type="dxa"/>
              <w:left w:w="15" w:type="dxa"/>
              <w:bottom w:w="0" w:type="dxa"/>
              <w:right w:w="15" w:type="dxa"/>
            </w:tcMar>
          </w:tcPr>
          <w:p w14:paraId="034F71C5"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 xml:space="preserve">The process of summing reservoir (or project) level estimates of resource quantities to higher levels or combinations such as field, country or company totals. Arithmetic summation of incremental categories may yield different results from probabilistic aggregation of distributions. </w:t>
            </w:r>
          </w:p>
        </w:tc>
      </w:tr>
      <w:tr w:rsidR="00BF46B4" w:rsidRPr="00D30BC1" w14:paraId="4DAA9899" w14:textId="77777777">
        <w:trPr>
          <w:cantSplit/>
          <w:trHeight w:val="603"/>
        </w:trPr>
        <w:tc>
          <w:tcPr>
            <w:tcW w:w="1429" w:type="dxa"/>
            <w:tcMar>
              <w:top w:w="15" w:type="dxa"/>
              <w:left w:w="15" w:type="dxa"/>
              <w:bottom w:w="0" w:type="dxa"/>
              <w:right w:w="15" w:type="dxa"/>
            </w:tcMar>
          </w:tcPr>
          <w:p w14:paraId="49B9A76D" w14:textId="77777777" w:rsidR="00BF46B4" w:rsidRPr="00D30BC1" w:rsidRDefault="00BF46B4" w:rsidP="00D30BC1">
            <w:pPr>
              <w:rPr>
                <w:rFonts w:ascii="Arial" w:hAnsi="Arial" w:cs="Arial"/>
                <w:sz w:val="20"/>
                <w:szCs w:val="22"/>
              </w:rPr>
            </w:pPr>
            <w:r w:rsidRPr="00D30BC1">
              <w:rPr>
                <w:rFonts w:ascii="Arial" w:hAnsi="Arial" w:cs="Arial"/>
                <w:sz w:val="20"/>
                <w:szCs w:val="22"/>
              </w:rPr>
              <w:t>Approved for Development</w:t>
            </w:r>
          </w:p>
        </w:tc>
        <w:tc>
          <w:tcPr>
            <w:tcW w:w="1091" w:type="dxa"/>
          </w:tcPr>
          <w:p w14:paraId="7258CC0C" w14:textId="77777777" w:rsidR="00BF46B4" w:rsidRPr="00D30BC1" w:rsidRDefault="00E16A90" w:rsidP="00D30BC1">
            <w:pPr>
              <w:rPr>
                <w:rFonts w:ascii="Arial" w:hAnsi="Arial" w:cs="Arial"/>
                <w:sz w:val="18"/>
                <w:szCs w:val="22"/>
              </w:rPr>
            </w:pPr>
            <w:r w:rsidRPr="00D30BC1">
              <w:rPr>
                <w:rFonts w:ascii="Arial" w:hAnsi="Arial" w:cs="Arial"/>
                <w:sz w:val="18"/>
                <w:szCs w:val="22"/>
              </w:rPr>
              <w:t>2007 -</w:t>
            </w:r>
            <w:r w:rsidR="00BF46B4" w:rsidRPr="00D30BC1">
              <w:rPr>
                <w:rFonts w:ascii="Arial" w:hAnsi="Arial" w:cs="Arial"/>
                <w:sz w:val="18"/>
                <w:szCs w:val="22"/>
              </w:rPr>
              <w:t xml:space="preserve"> </w:t>
            </w:r>
          </w:p>
          <w:p w14:paraId="5398E530" w14:textId="77777777" w:rsidR="00BF46B4" w:rsidRPr="00D30BC1" w:rsidRDefault="00BF46B4" w:rsidP="00D30BC1">
            <w:pPr>
              <w:rPr>
                <w:rFonts w:ascii="Arial" w:hAnsi="Arial" w:cs="Arial"/>
                <w:sz w:val="18"/>
                <w:szCs w:val="22"/>
              </w:rPr>
            </w:pPr>
            <w:r w:rsidRPr="00D30BC1">
              <w:rPr>
                <w:rFonts w:ascii="Arial" w:hAnsi="Arial" w:cs="Arial"/>
                <w:sz w:val="18"/>
                <w:szCs w:val="22"/>
              </w:rPr>
              <w:t>Table I</w:t>
            </w:r>
          </w:p>
        </w:tc>
        <w:tc>
          <w:tcPr>
            <w:tcW w:w="7202" w:type="dxa"/>
            <w:tcBorders>
              <w:bottom w:val="single" w:sz="4" w:space="0" w:color="auto"/>
            </w:tcBorders>
            <w:tcMar>
              <w:top w:w="15" w:type="dxa"/>
              <w:left w:w="15" w:type="dxa"/>
              <w:bottom w:w="0" w:type="dxa"/>
              <w:right w:w="15" w:type="dxa"/>
            </w:tcMar>
          </w:tcPr>
          <w:p w14:paraId="2B9D53F5" w14:textId="77777777" w:rsidR="00BF46B4" w:rsidRPr="00D30BC1" w:rsidRDefault="00BF46B4" w:rsidP="00D30BC1">
            <w:pPr>
              <w:pStyle w:val="CommentText"/>
              <w:spacing w:after="120"/>
              <w:rPr>
                <w:rFonts w:ascii="Arial" w:hAnsi="Arial" w:cs="Arial"/>
                <w:szCs w:val="22"/>
              </w:rPr>
            </w:pPr>
            <w:r w:rsidRPr="00D30BC1">
              <w:rPr>
                <w:rFonts w:ascii="Arial" w:hAnsi="Arial" w:cs="Arial"/>
                <w:sz w:val="18"/>
              </w:rPr>
              <w:t>All necessary approvals have been obtained, capital funds have been committed, and implementation of the development project is underway.</w:t>
            </w:r>
          </w:p>
        </w:tc>
      </w:tr>
      <w:tr w:rsidR="00BF46B4" w:rsidRPr="00D30BC1" w14:paraId="13AD7D2C" w14:textId="77777777">
        <w:trPr>
          <w:cantSplit/>
          <w:trHeight w:val="1135"/>
        </w:trPr>
        <w:tc>
          <w:tcPr>
            <w:tcW w:w="1429" w:type="dxa"/>
            <w:tcMar>
              <w:top w:w="15" w:type="dxa"/>
              <w:left w:w="15" w:type="dxa"/>
              <w:bottom w:w="0" w:type="dxa"/>
              <w:right w:w="15" w:type="dxa"/>
            </w:tcMar>
          </w:tcPr>
          <w:p w14:paraId="24AD0112" w14:textId="77777777" w:rsidR="00BF46B4" w:rsidRPr="00D30BC1" w:rsidRDefault="00BF46B4" w:rsidP="00D30BC1">
            <w:pPr>
              <w:widowControl w:val="0"/>
              <w:rPr>
                <w:rFonts w:ascii="Arial" w:eastAsia="Arial Unicode MS" w:hAnsi="Arial" w:cs="Arial"/>
                <w:sz w:val="20"/>
                <w:szCs w:val="22"/>
              </w:rPr>
            </w:pPr>
            <w:r w:rsidRPr="00D30BC1">
              <w:rPr>
                <w:rFonts w:ascii="Arial" w:hAnsi="Arial" w:cs="Arial"/>
                <w:sz w:val="20"/>
                <w:szCs w:val="22"/>
              </w:rPr>
              <w:t>Analogous Reservoir</w:t>
            </w:r>
          </w:p>
        </w:tc>
        <w:tc>
          <w:tcPr>
            <w:tcW w:w="1091" w:type="dxa"/>
          </w:tcPr>
          <w:p w14:paraId="1C0EE110" w14:textId="77777777" w:rsidR="00BF46B4" w:rsidRPr="00D30BC1" w:rsidRDefault="00BF46B4" w:rsidP="00D30BC1">
            <w:pPr>
              <w:pStyle w:val="font5"/>
              <w:widowControl w:val="0"/>
              <w:spacing w:before="0" w:beforeAutospacing="0" w:after="0" w:afterAutospacing="0"/>
              <w:rPr>
                <w:rFonts w:ascii="Arial" w:hAnsi="Arial" w:cs="Arial"/>
                <w:sz w:val="18"/>
                <w:szCs w:val="22"/>
              </w:rPr>
            </w:pPr>
            <w:r w:rsidRPr="00D30BC1">
              <w:rPr>
                <w:rFonts w:ascii="Arial" w:hAnsi="Arial" w:cs="Arial"/>
                <w:sz w:val="18"/>
                <w:szCs w:val="22"/>
              </w:rPr>
              <w:t>2007 - 3.4.1</w:t>
            </w:r>
          </w:p>
        </w:tc>
        <w:tc>
          <w:tcPr>
            <w:tcW w:w="7202" w:type="dxa"/>
            <w:tcBorders>
              <w:bottom w:val="single" w:sz="4" w:space="0" w:color="auto"/>
            </w:tcBorders>
            <w:tcMar>
              <w:top w:w="15" w:type="dxa"/>
              <w:left w:w="15" w:type="dxa"/>
              <w:bottom w:w="0" w:type="dxa"/>
              <w:right w:w="15" w:type="dxa"/>
            </w:tcMar>
          </w:tcPr>
          <w:p w14:paraId="01DCEE45" w14:textId="77777777" w:rsidR="00BF46B4" w:rsidRPr="00D30BC1" w:rsidRDefault="00BF46B4" w:rsidP="00D30BC1">
            <w:pPr>
              <w:pStyle w:val="font5"/>
              <w:widowControl w:val="0"/>
              <w:spacing w:before="0" w:beforeAutospacing="0" w:after="120" w:afterAutospacing="0"/>
              <w:rPr>
                <w:rFonts w:ascii="Arial" w:hAnsi="Arial" w:cs="Arial"/>
                <w:sz w:val="20"/>
                <w:szCs w:val="22"/>
              </w:rPr>
            </w:pPr>
            <w:r w:rsidRPr="00D30BC1">
              <w:rPr>
                <w:rFonts w:ascii="Arial" w:hAnsi="Arial" w:cs="Arial"/>
                <w:sz w:val="20"/>
                <w:szCs w:val="22"/>
              </w:rPr>
              <w:t xml:space="preserve">Analogous reservoirs, as used in resources assessments, have similar rock and fluid properties, reservoir conditions (depth, temperature and pressure) and drive mechanisms, but are typically at a more advanced stage of development than the reservoir of interest and thus may provide concepts to assist in the interpretation of more limited data and estimation of recovery. </w:t>
            </w:r>
          </w:p>
        </w:tc>
      </w:tr>
      <w:tr w:rsidR="00BF46B4" w:rsidRPr="00D30BC1" w14:paraId="72BD5981" w14:textId="77777777">
        <w:trPr>
          <w:trHeight w:val="360"/>
        </w:trPr>
        <w:tc>
          <w:tcPr>
            <w:tcW w:w="1429" w:type="dxa"/>
            <w:tcMar>
              <w:top w:w="15" w:type="dxa"/>
              <w:left w:w="15" w:type="dxa"/>
              <w:bottom w:w="0" w:type="dxa"/>
              <w:right w:w="15" w:type="dxa"/>
            </w:tcMar>
          </w:tcPr>
          <w:p w14:paraId="01A7CBFE" w14:textId="77777777" w:rsidR="00BF46B4" w:rsidRPr="00D30BC1" w:rsidRDefault="00BF46B4" w:rsidP="00D30BC1">
            <w:pPr>
              <w:rPr>
                <w:rFonts w:ascii="Arial" w:hAnsi="Arial" w:cs="Arial"/>
                <w:sz w:val="20"/>
                <w:szCs w:val="22"/>
              </w:rPr>
            </w:pPr>
            <w:r w:rsidRPr="00D30BC1">
              <w:rPr>
                <w:rFonts w:ascii="Arial" w:hAnsi="Arial" w:cs="Arial"/>
                <w:sz w:val="20"/>
                <w:szCs w:val="22"/>
              </w:rPr>
              <w:t>Assessment</w:t>
            </w:r>
          </w:p>
        </w:tc>
        <w:tc>
          <w:tcPr>
            <w:tcW w:w="1091" w:type="dxa"/>
          </w:tcPr>
          <w:p w14:paraId="1D4992F0" w14:textId="77777777" w:rsidR="00BF46B4" w:rsidRPr="00D30BC1" w:rsidRDefault="00BF46B4" w:rsidP="00D30BC1">
            <w:pPr>
              <w:rPr>
                <w:rFonts w:ascii="Arial" w:hAnsi="Arial" w:cs="Arial"/>
                <w:sz w:val="18"/>
                <w:szCs w:val="22"/>
              </w:rPr>
            </w:pPr>
            <w:r w:rsidRPr="00D30BC1">
              <w:rPr>
                <w:rFonts w:ascii="Arial" w:hAnsi="Arial" w:cs="Arial"/>
                <w:sz w:val="18"/>
                <w:szCs w:val="22"/>
              </w:rPr>
              <w:t>2007 - 1.2</w:t>
            </w:r>
          </w:p>
        </w:tc>
        <w:tc>
          <w:tcPr>
            <w:tcW w:w="7202" w:type="dxa"/>
            <w:tcMar>
              <w:top w:w="15" w:type="dxa"/>
              <w:left w:w="15" w:type="dxa"/>
              <w:bottom w:w="0" w:type="dxa"/>
              <w:right w:w="15" w:type="dxa"/>
            </w:tcMar>
          </w:tcPr>
          <w:p w14:paraId="2A96B57E"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See Evaluation</w:t>
            </w:r>
            <w:r w:rsidR="00EF53C2" w:rsidRPr="00D30BC1">
              <w:rPr>
                <w:rFonts w:ascii="Arial" w:hAnsi="Arial" w:cs="Arial"/>
                <w:sz w:val="20"/>
                <w:szCs w:val="22"/>
              </w:rPr>
              <w:t>.</w:t>
            </w:r>
          </w:p>
        </w:tc>
      </w:tr>
      <w:tr w:rsidR="00BF46B4" w:rsidRPr="00D30BC1" w14:paraId="3A134672" w14:textId="77777777">
        <w:trPr>
          <w:trHeight w:val="224"/>
        </w:trPr>
        <w:tc>
          <w:tcPr>
            <w:tcW w:w="1429" w:type="dxa"/>
            <w:tcMar>
              <w:top w:w="15" w:type="dxa"/>
              <w:left w:w="15" w:type="dxa"/>
              <w:bottom w:w="0" w:type="dxa"/>
              <w:right w:w="15" w:type="dxa"/>
            </w:tcMar>
          </w:tcPr>
          <w:p w14:paraId="651FB14B"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Associated Gas</w:t>
            </w:r>
          </w:p>
        </w:tc>
        <w:tc>
          <w:tcPr>
            <w:tcW w:w="1091" w:type="dxa"/>
          </w:tcPr>
          <w:p w14:paraId="0BE18369" w14:textId="77777777" w:rsidR="00BF46B4" w:rsidRPr="00D30BC1" w:rsidRDefault="00BF46B4" w:rsidP="00D30BC1">
            <w:pPr>
              <w:rPr>
                <w:rFonts w:ascii="Arial" w:hAnsi="Arial" w:cs="Arial"/>
                <w:sz w:val="18"/>
                <w:szCs w:val="22"/>
              </w:rPr>
            </w:pPr>
          </w:p>
        </w:tc>
        <w:tc>
          <w:tcPr>
            <w:tcW w:w="7202" w:type="dxa"/>
            <w:tcMar>
              <w:top w:w="15" w:type="dxa"/>
              <w:left w:w="15" w:type="dxa"/>
              <w:bottom w:w="0" w:type="dxa"/>
              <w:right w:w="15" w:type="dxa"/>
            </w:tcMar>
          </w:tcPr>
          <w:p w14:paraId="657AFB9B"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Associated Gas is a natural gas found in contact with or dissolved in crude oil in the reservoir. It can be further categorized as Gas-Cap Gas or Solution Gas.</w:t>
            </w:r>
          </w:p>
        </w:tc>
      </w:tr>
      <w:tr w:rsidR="00BF46B4" w:rsidRPr="00D30BC1" w14:paraId="75776EF4" w14:textId="77777777">
        <w:trPr>
          <w:trHeight w:val="448"/>
        </w:trPr>
        <w:tc>
          <w:tcPr>
            <w:tcW w:w="1429" w:type="dxa"/>
            <w:tcMar>
              <w:top w:w="15" w:type="dxa"/>
              <w:left w:w="15" w:type="dxa"/>
              <w:bottom w:w="0" w:type="dxa"/>
              <w:right w:w="15" w:type="dxa"/>
            </w:tcMar>
          </w:tcPr>
          <w:p w14:paraId="108254CA"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Barrels of Oil Equivalent (BOE)</w:t>
            </w:r>
          </w:p>
        </w:tc>
        <w:tc>
          <w:tcPr>
            <w:tcW w:w="1091" w:type="dxa"/>
          </w:tcPr>
          <w:p w14:paraId="72FB86E5" w14:textId="77777777" w:rsidR="00BF46B4" w:rsidRPr="00D30BC1" w:rsidRDefault="00BF46B4" w:rsidP="00D30BC1">
            <w:pPr>
              <w:rPr>
                <w:rFonts w:ascii="Arial" w:hAnsi="Arial" w:cs="Arial"/>
                <w:sz w:val="18"/>
                <w:szCs w:val="22"/>
              </w:rPr>
            </w:pPr>
            <w:r w:rsidRPr="00D30BC1">
              <w:rPr>
                <w:rFonts w:ascii="Arial" w:hAnsi="Arial" w:cs="Arial"/>
                <w:sz w:val="18"/>
                <w:szCs w:val="22"/>
              </w:rPr>
              <w:t>2001 - 3.7</w:t>
            </w:r>
          </w:p>
        </w:tc>
        <w:tc>
          <w:tcPr>
            <w:tcW w:w="7202" w:type="dxa"/>
            <w:tcMar>
              <w:top w:w="15" w:type="dxa"/>
              <w:left w:w="15" w:type="dxa"/>
              <w:bottom w:w="0" w:type="dxa"/>
              <w:right w:w="15" w:type="dxa"/>
            </w:tcMar>
          </w:tcPr>
          <w:p w14:paraId="36730444"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See Crude Oil Equivalent</w:t>
            </w:r>
            <w:r w:rsidR="00EF53C2" w:rsidRPr="00D30BC1">
              <w:rPr>
                <w:rFonts w:ascii="Arial" w:hAnsi="Arial" w:cs="Arial"/>
                <w:sz w:val="20"/>
                <w:szCs w:val="22"/>
              </w:rPr>
              <w:t>.</w:t>
            </w:r>
          </w:p>
        </w:tc>
      </w:tr>
      <w:tr w:rsidR="00BF46B4" w:rsidRPr="00D30BC1" w14:paraId="338A7936" w14:textId="77777777">
        <w:trPr>
          <w:trHeight w:val="672"/>
        </w:trPr>
        <w:tc>
          <w:tcPr>
            <w:tcW w:w="1429" w:type="dxa"/>
            <w:tcMar>
              <w:top w:w="15" w:type="dxa"/>
              <w:left w:w="15" w:type="dxa"/>
              <w:bottom w:w="0" w:type="dxa"/>
              <w:right w:w="15" w:type="dxa"/>
            </w:tcMar>
          </w:tcPr>
          <w:p w14:paraId="01E88712" w14:textId="77777777" w:rsidR="00BF46B4" w:rsidRPr="00D30BC1" w:rsidRDefault="00BF46B4" w:rsidP="00D30BC1">
            <w:pPr>
              <w:pStyle w:val="CommentText"/>
              <w:rPr>
                <w:rFonts w:ascii="Arial" w:hAnsi="Arial" w:cs="Arial"/>
                <w:szCs w:val="22"/>
              </w:rPr>
            </w:pPr>
            <w:r w:rsidRPr="00D30BC1">
              <w:rPr>
                <w:rFonts w:ascii="Arial" w:hAnsi="Arial" w:cs="Arial"/>
                <w:szCs w:val="22"/>
              </w:rPr>
              <w:t>Basin-Centered Gas</w:t>
            </w:r>
          </w:p>
        </w:tc>
        <w:tc>
          <w:tcPr>
            <w:tcW w:w="1091" w:type="dxa"/>
          </w:tcPr>
          <w:p w14:paraId="50927DE7" w14:textId="77777777" w:rsidR="00BF46B4" w:rsidRPr="00D30BC1" w:rsidRDefault="00BF46B4" w:rsidP="00D30BC1">
            <w:pPr>
              <w:rPr>
                <w:rFonts w:ascii="Arial" w:hAnsi="Arial" w:cs="Arial"/>
                <w:sz w:val="18"/>
                <w:szCs w:val="22"/>
              </w:rPr>
            </w:pPr>
            <w:r w:rsidRPr="00D30BC1">
              <w:rPr>
                <w:rFonts w:ascii="Arial" w:hAnsi="Arial" w:cs="Arial"/>
                <w:sz w:val="18"/>
                <w:szCs w:val="22"/>
              </w:rPr>
              <w:t>2007</w:t>
            </w:r>
            <w:r w:rsidR="00E16A90" w:rsidRPr="00D30BC1">
              <w:rPr>
                <w:rFonts w:ascii="Arial" w:hAnsi="Arial" w:cs="Arial"/>
                <w:sz w:val="18"/>
                <w:szCs w:val="22"/>
              </w:rPr>
              <w:t xml:space="preserve"> -</w:t>
            </w:r>
            <w:r w:rsidRPr="00D30BC1">
              <w:rPr>
                <w:rFonts w:ascii="Arial" w:hAnsi="Arial" w:cs="Arial"/>
                <w:sz w:val="18"/>
                <w:szCs w:val="22"/>
              </w:rPr>
              <w:t xml:space="preserve"> 2.4</w:t>
            </w:r>
          </w:p>
        </w:tc>
        <w:tc>
          <w:tcPr>
            <w:tcW w:w="7202" w:type="dxa"/>
            <w:tcMar>
              <w:top w:w="15" w:type="dxa"/>
              <w:left w:w="15" w:type="dxa"/>
              <w:bottom w:w="0" w:type="dxa"/>
              <w:right w:w="15" w:type="dxa"/>
            </w:tcMar>
          </w:tcPr>
          <w:p w14:paraId="1EF4E1E3"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An unconventional natural gas accumulation that is regionally pervasive and characterized by low permeability, abnormal pressure, gas saturated reservoirs and lack of a down-dip water leg.</w:t>
            </w:r>
          </w:p>
        </w:tc>
      </w:tr>
    </w:tbl>
    <w:p w14:paraId="6258EBD9" w14:textId="77777777" w:rsidR="00BF46B4" w:rsidRPr="00D30BC1" w:rsidRDefault="00BF46B4" w:rsidP="00D30BC1">
      <w:r w:rsidRPr="00D30BC1">
        <w:br w:type="page"/>
      </w:r>
    </w:p>
    <w:tbl>
      <w:tblPr>
        <w:tblW w:w="972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9"/>
        <w:gridCol w:w="16"/>
        <w:gridCol w:w="13"/>
        <w:gridCol w:w="1066"/>
        <w:gridCol w:w="7198"/>
      </w:tblGrid>
      <w:tr w:rsidR="00BF46B4" w:rsidRPr="00D30BC1" w14:paraId="0DFE19CA" w14:textId="77777777" w:rsidTr="00D30BC1">
        <w:trPr>
          <w:trHeight w:val="967"/>
        </w:trPr>
        <w:tc>
          <w:tcPr>
            <w:tcW w:w="1429" w:type="dxa"/>
            <w:shd w:val="clear" w:color="auto" w:fill="auto"/>
            <w:tcMar>
              <w:top w:w="15" w:type="dxa"/>
              <w:left w:w="15" w:type="dxa"/>
              <w:bottom w:w="0" w:type="dxa"/>
              <w:right w:w="15" w:type="dxa"/>
            </w:tcMar>
          </w:tcPr>
          <w:p w14:paraId="085CDEDE" w14:textId="77777777" w:rsidR="00BF46B4" w:rsidRPr="00D30BC1" w:rsidRDefault="000B0A6A" w:rsidP="00D30BC1">
            <w:pPr>
              <w:rPr>
                <w:rFonts w:ascii="Arial" w:eastAsia="Arial Unicode MS" w:hAnsi="Arial" w:cs="Arial"/>
                <w:sz w:val="20"/>
                <w:szCs w:val="22"/>
              </w:rPr>
            </w:pPr>
            <w:r w:rsidRPr="00D30BC1">
              <w:rPr>
                <w:rFonts w:ascii="Arial" w:hAnsi="Arial" w:cs="Arial"/>
                <w:sz w:val="20"/>
                <w:szCs w:val="22"/>
              </w:rPr>
              <w:t>Behind-P</w:t>
            </w:r>
            <w:r w:rsidR="00BF46B4" w:rsidRPr="00D30BC1">
              <w:rPr>
                <w:rFonts w:ascii="Arial" w:hAnsi="Arial" w:cs="Arial"/>
                <w:sz w:val="20"/>
                <w:szCs w:val="22"/>
              </w:rPr>
              <w:t>ipe Reserves</w:t>
            </w:r>
          </w:p>
        </w:tc>
        <w:tc>
          <w:tcPr>
            <w:tcW w:w="1095" w:type="dxa"/>
            <w:gridSpan w:val="3"/>
            <w:shd w:val="clear" w:color="auto" w:fill="auto"/>
          </w:tcPr>
          <w:p w14:paraId="6DDEA7DD" w14:textId="77777777" w:rsidR="00BF46B4" w:rsidRPr="00D30BC1" w:rsidRDefault="00BF46B4" w:rsidP="00D30BC1">
            <w:pPr>
              <w:rPr>
                <w:rFonts w:ascii="Arial" w:hAnsi="Arial" w:cs="Arial"/>
                <w:sz w:val="18"/>
                <w:szCs w:val="22"/>
              </w:rPr>
            </w:pPr>
            <w:r w:rsidRPr="00D30BC1">
              <w:rPr>
                <w:rFonts w:ascii="Arial" w:hAnsi="Arial" w:cs="Arial"/>
                <w:sz w:val="18"/>
                <w:szCs w:val="22"/>
              </w:rPr>
              <w:t>2007 - 2.1.3.1</w:t>
            </w:r>
          </w:p>
        </w:tc>
        <w:tc>
          <w:tcPr>
            <w:tcW w:w="7198" w:type="dxa"/>
            <w:shd w:val="clear" w:color="auto" w:fill="auto"/>
            <w:tcMar>
              <w:top w:w="15" w:type="dxa"/>
              <w:left w:w="15" w:type="dxa"/>
              <w:bottom w:w="0" w:type="dxa"/>
              <w:right w:w="15" w:type="dxa"/>
            </w:tcMar>
          </w:tcPr>
          <w:p w14:paraId="11DAB27D" w14:textId="77777777" w:rsidR="00BF46B4" w:rsidRPr="00D30BC1" w:rsidRDefault="00BF46B4" w:rsidP="00D30BC1">
            <w:pPr>
              <w:spacing w:after="120"/>
              <w:rPr>
                <w:rFonts w:ascii="Arial" w:hAnsi="Arial" w:cs="Arial"/>
                <w:sz w:val="20"/>
              </w:rPr>
            </w:pPr>
            <w:r w:rsidRPr="00D30BC1">
              <w:rPr>
                <w:rFonts w:ascii="Arial" w:hAnsi="Arial" w:cs="Arial"/>
                <w:sz w:val="20"/>
                <w:szCs w:val="22"/>
              </w:rPr>
              <w:t xml:space="preserve">Behind-pipe reserves are expected to be recovered from zones in existing wells, which will require additional completion work or future re-completion prior to the start of production. </w:t>
            </w:r>
            <w:r w:rsidRPr="00D30BC1">
              <w:rPr>
                <w:rFonts w:ascii="Arial" w:hAnsi="Arial" w:cs="Arial"/>
                <w:sz w:val="20"/>
              </w:rPr>
              <w:t>In all cases</w:t>
            </w:r>
            <w:r w:rsidR="000B0A6A" w:rsidRPr="00D30BC1">
              <w:rPr>
                <w:rFonts w:ascii="Arial" w:hAnsi="Arial" w:cs="Arial"/>
                <w:sz w:val="20"/>
              </w:rPr>
              <w:t>,</w:t>
            </w:r>
            <w:r w:rsidRPr="00D30BC1">
              <w:rPr>
                <w:rFonts w:ascii="Arial" w:hAnsi="Arial" w:cs="Arial"/>
                <w:sz w:val="20"/>
              </w:rPr>
              <w:t xml:space="preserve"> production can be initiated or restored with relatively low expenditure compared to the cost of drilling a new well.</w:t>
            </w:r>
          </w:p>
        </w:tc>
      </w:tr>
      <w:tr w:rsidR="00BF46B4" w:rsidRPr="00D30BC1" w14:paraId="5DF4D61C" w14:textId="77777777" w:rsidTr="00D30BC1">
        <w:trPr>
          <w:trHeight w:val="1399"/>
        </w:trPr>
        <w:tc>
          <w:tcPr>
            <w:tcW w:w="1429" w:type="dxa"/>
            <w:shd w:val="clear" w:color="auto" w:fill="auto"/>
            <w:tcMar>
              <w:top w:w="15" w:type="dxa"/>
              <w:left w:w="15" w:type="dxa"/>
              <w:bottom w:w="0" w:type="dxa"/>
              <w:right w:w="15" w:type="dxa"/>
            </w:tcMar>
          </w:tcPr>
          <w:p w14:paraId="68300C95" w14:textId="77777777" w:rsidR="00BF46B4" w:rsidRPr="00D30BC1" w:rsidRDefault="00BF46B4" w:rsidP="00D30BC1">
            <w:pPr>
              <w:rPr>
                <w:rFonts w:ascii="Arial" w:hAnsi="Arial" w:cs="Arial"/>
                <w:sz w:val="20"/>
                <w:szCs w:val="22"/>
              </w:rPr>
            </w:pPr>
            <w:r w:rsidRPr="00D30BC1">
              <w:rPr>
                <w:rFonts w:ascii="Arial" w:hAnsi="Arial" w:cs="Arial"/>
                <w:sz w:val="20"/>
                <w:szCs w:val="22"/>
              </w:rPr>
              <w:t>Best Estimate</w:t>
            </w:r>
          </w:p>
        </w:tc>
        <w:tc>
          <w:tcPr>
            <w:tcW w:w="1095" w:type="dxa"/>
            <w:gridSpan w:val="3"/>
            <w:shd w:val="clear" w:color="auto" w:fill="auto"/>
          </w:tcPr>
          <w:p w14:paraId="165FA4CC"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w:t>
            </w:r>
            <w:r w:rsidR="000B0A6A" w:rsidRPr="00D30BC1">
              <w:rPr>
                <w:rFonts w:ascii="Arial" w:hAnsi="Arial" w:cs="Arial"/>
                <w:sz w:val="18"/>
                <w:szCs w:val="22"/>
              </w:rPr>
              <w:t>-</w:t>
            </w:r>
            <w:r w:rsidRPr="00D30BC1">
              <w:rPr>
                <w:rFonts w:ascii="Arial" w:hAnsi="Arial" w:cs="Arial"/>
                <w:sz w:val="18"/>
                <w:szCs w:val="22"/>
              </w:rPr>
              <w:t xml:space="preserve"> 2.2.2</w:t>
            </w:r>
          </w:p>
          <w:p w14:paraId="6E41D277"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2001 </w:t>
            </w:r>
            <w:r w:rsidR="000B0A6A" w:rsidRPr="00D30BC1">
              <w:rPr>
                <w:rFonts w:ascii="Arial" w:hAnsi="Arial" w:cs="Arial"/>
                <w:sz w:val="18"/>
                <w:szCs w:val="22"/>
              </w:rPr>
              <w:t>-</w:t>
            </w:r>
            <w:r w:rsidRPr="00D30BC1">
              <w:rPr>
                <w:rFonts w:ascii="Arial" w:hAnsi="Arial" w:cs="Arial"/>
                <w:sz w:val="18"/>
                <w:szCs w:val="22"/>
              </w:rPr>
              <w:t xml:space="preserve"> 2.5</w:t>
            </w:r>
          </w:p>
        </w:tc>
        <w:tc>
          <w:tcPr>
            <w:tcW w:w="7198" w:type="dxa"/>
            <w:shd w:val="clear" w:color="auto" w:fill="auto"/>
            <w:tcMar>
              <w:top w:w="15" w:type="dxa"/>
              <w:left w:w="15" w:type="dxa"/>
              <w:bottom w:w="0" w:type="dxa"/>
              <w:right w:w="15" w:type="dxa"/>
            </w:tcMar>
          </w:tcPr>
          <w:p w14:paraId="6E340D73" w14:textId="77777777" w:rsidR="00BF46B4" w:rsidRPr="00D30BC1" w:rsidRDefault="00BF46B4" w:rsidP="00D30BC1">
            <w:pPr>
              <w:pStyle w:val="CommentText"/>
              <w:spacing w:after="120"/>
              <w:rPr>
                <w:rFonts w:ascii="Arial" w:hAnsi="Arial" w:cs="Arial"/>
                <w:szCs w:val="22"/>
              </w:rPr>
            </w:pPr>
            <w:r w:rsidRPr="00D30BC1">
              <w:rPr>
                <w:rFonts w:ascii="Arial" w:hAnsi="Arial" w:cs="Arial"/>
                <w:szCs w:val="22"/>
              </w:rPr>
              <w:t xml:space="preserve">With respect to resource categorization, this is considered to be the best estimate of the quantity that will actually be recovered from the accumulation by the project. It is the most realistic assessment of recoverable quantities if only a single result were reported. If probabilistic methods are used, </w:t>
            </w:r>
            <w:r w:rsidRPr="00D30BC1">
              <w:rPr>
                <w:rFonts w:ascii="Arial" w:hAnsi="Arial" w:cs="Arial"/>
              </w:rPr>
              <w:t xml:space="preserve">there should be at least a 50% probability (P50) that the quantities actually recovered will equal or exceed the best estimate. </w:t>
            </w:r>
            <w:r w:rsidRPr="00D30BC1">
              <w:rPr>
                <w:rFonts w:ascii="Arial" w:hAnsi="Arial" w:cs="Arial"/>
                <w:szCs w:val="22"/>
              </w:rPr>
              <w:t xml:space="preserve"> </w:t>
            </w:r>
          </w:p>
        </w:tc>
      </w:tr>
      <w:tr w:rsidR="00BF46B4" w:rsidRPr="00D30BC1" w14:paraId="613300CA" w14:textId="77777777" w:rsidTr="00D30BC1">
        <w:trPr>
          <w:trHeight w:val="448"/>
        </w:trPr>
        <w:tc>
          <w:tcPr>
            <w:tcW w:w="1429" w:type="dxa"/>
            <w:shd w:val="clear" w:color="auto" w:fill="auto"/>
            <w:tcMar>
              <w:top w:w="15" w:type="dxa"/>
              <w:left w:w="15" w:type="dxa"/>
              <w:bottom w:w="0" w:type="dxa"/>
              <w:right w:w="15" w:type="dxa"/>
            </w:tcMar>
          </w:tcPr>
          <w:p w14:paraId="14C6C837"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Bitumen</w:t>
            </w:r>
          </w:p>
        </w:tc>
        <w:tc>
          <w:tcPr>
            <w:tcW w:w="1095" w:type="dxa"/>
            <w:gridSpan w:val="3"/>
            <w:shd w:val="clear" w:color="auto" w:fill="auto"/>
          </w:tcPr>
          <w:p w14:paraId="28FBA9DE" w14:textId="77777777" w:rsidR="00BF46B4" w:rsidRPr="00D30BC1" w:rsidRDefault="00BF46B4" w:rsidP="00D30BC1">
            <w:pPr>
              <w:rPr>
                <w:rFonts w:ascii="Arial" w:hAnsi="Arial" w:cs="Arial"/>
                <w:sz w:val="18"/>
                <w:szCs w:val="22"/>
              </w:rPr>
            </w:pPr>
            <w:r w:rsidRPr="00D30BC1">
              <w:rPr>
                <w:rFonts w:ascii="Arial" w:hAnsi="Arial" w:cs="Arial"/>
                <w:sz w:val="18"/>
                <w:szCs w:val="22"/>
              </w:rPr>
              <w:t>2007 - 2.4</w:t>
            </w:r>
          </w:p>
        </w:tc>
        <w:tc>
          <w:tcPr>
            <w:tcW w:w="7198" w:type="dxa"/>
            <w:shd w:val="clear" w:color="auto" w:fill="auto"/>
            <w:tcMar>
              <w:top w:w="15" w:type="dxa"/>
              <w:left w:w="15" w:type="dxa"/>
              <w:bottom w:w="0" w:type="dxa"/>
              <w:right w:w="15" w:type="dxa"/>
            </w:tcMar>
          </w:tcPr>
          <w:p w14:paraId="59B072DA"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See Natural Bitumen</w:t>
            </w:r>
            <w:r w:rsidR="000B0A6A" w:rsidRPr="00D30BC1">
              <w:rPr>
                <w:rFonts w:ascii="Arial" w:hAnsi="Arial" w:cs="Arial"/>
                <w:sz w:val="20"/>
                <w:szCs w:val="22"/>
              </w:rPr>
              <w:t>.</w:t>
            </w:r>
            <w:r w:rsidRPr="00D30BC1">
              <w:rPr>
                <w:rFonts w:ascii="Arial" w:hAnsi="Arial" w:cs="Arial"/>
                <w:sz w:val="20"/>
                <w:szCs w:val="22"/>
              </w:rPr>
              <w:t xml:space="preserve"> </w:t>
            </w:r>
          </w:p>
        </w:tc>
      </w:tr>
      <w:tr w:rsidR="00BF46B4" w:rsidRPr="00D30BC1" w14:paraId="59A3363D" w14:textId="77777777" w:rsidTr="00D30BC1">
        <w:trPr>
          <w:trHeight w:val="949"/>
        </w:trPr>
        <w:tc>
          <w:tcPr>
            <w:tcW w:w="1445" w:type="dxa"/>
            <w:gridSpan w:val="2"/>
            <w:shd w:val="clear" w:color="auto" w:fill="auto"/>
            <w:tcMar>
              <w:top w:w="15" w:type="dxa"/>
              <w:left w:w="15" w:type="dxa"/>
              <w:bottom w:w="0" w:type="dxa"/>
              <w:right w:w="15" w:type="dxa"/>
            </w:tcMar>
          </w:tcPr>
          <w:p w14:paraId="7CB23F4A"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Buy Back Agreement</w:t>
            </w:r>
          </w:p>
        </w:tc>
        <w:tc>
          <w:tcPr>
            <w:tcW w:w="1079" w:type="dxa"/>
            <w:gridSpan w:val="2"/>
            <w:shd w:val="clear" w:color="auto" w:fill="auto"/>
          </w:tcPr>
          <w:p w14:paraId="5D32E807" w14:textId="77777777" w:rsidR="00BF46B4" w:rsidRPr="00D30BC1" w:rsidRDefault="00BF46B4" w:rsidP="00D30BC1">
            <w:pPr>
              <w:rPr>
                <w:rFonts w:ascii="Arial" w:eastAsia="Arial Unicode MS" w:hAnsi="Arial" w:cs="Arial"/>
                <w:sz w:val="18"/>
                <w:szCs w:val="22"/>
              </w:rPr>
            </w:pPr>
          </w:p>
        </w:tc>
        <w:tc>
          <w:tcPr>
            <w:tcW w:w="7198" w:type="dxa"/>
            <w:shd w:val="clear" w:color="auto" w:fill="auto"/>
            <w:tcMar>
              <w:top w:w="15" w:type="dxa"/>
              <w:left w:w="15" w:type="dxa"/>
              <w:bottom w:w="0" w:type="dxa"/>
              <w:right w:w="15" w:type="dxa"/>
            </w:tcMar>
          </w:tcPr>
          <w:p w14:paraId="04FC2EFC"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 xml:space="preserve">An agreement between a host government and a contractor under which the host pays the contractor an agreed price for all volumes of hydrocarbons produced by the contractor. Pricing mechanisms typically provide the contractor with an opportunity to recover investment at an agreed level of profit. </w:t>
            </w:r>
          </w:p>
        </w:tc>
      </w:tr>
      <w:tr w:rsidR="00BF46B4" w:rsidRPr="00D30BC1" w14:paraId="17B3310E" w14:textId="77777777" w:rsidTr="00D30BC1">
        <w:trPr>
          <w:trHeight w:val="55"/>
        </w:trPr>
        <w:tc>
          <w:tcPr>
            <w:tcW w:w="1445" w:type="dxa"/>
            <w:gridSpan w:val="2"/>
            <w:shd w:val="clear" w:color="auto" w:fill="auto"/>
            <w:tcMar>
              <w:top w:w="15" w:type="dxa"/>
              <w:left w:w="15" w:type="dxa"/>
              <w:bottom w:w="0" w:type="dxa"/>
              <w:right w:w="15" w:type="dxa"/>
            </w:tcMar>
          </w:tcPr>
          <w:p w14:paraId="6564A0F1"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Carried Interest</w:t>
            </w:r>
          </w:p>
        </w:tc>
        <w:tc>
          <w:tcPr>
            <w:tcW w:w="1079" w:type="dxa"/>
            <w:gridSpan w:val="2"/>
            <w:shd w:val="clear" w:color="auto" w:fill="auto"/>
          </w:tcPr>
          <w:p w14:paraId="607F3522" w14:textId="77777777" w:rsidR="00BF46B4" w:rsidRPr="00D30BC1" w:rsidRDefault="00BF46B4" w:rsidP="00D30BC1">
            <w:pPr>
              <w:rPr>
                <w:rFonts w:ascii="Arial" w:hAnsi="Arial" w:cs="Arial"/>
                <w:sz w:val="18"/>
                <w:szCs w:val="22"/>
              </w:rPr>
            </w:pPr>
            <w:r w:rsidRPr="00D30BC1">
              <w:rPr>
                <w:rFonts w:ascii="Arial" w:hAnsi="Arial" w:cs="Arial"/>
                <w:sz w:val="18"/>
                <w:szCs w:val="22"/>
              </w:rPr>
              <w:t>2001 - 9.6.7</w:t>
            </w:r>
          </w:p>
        </w:tc>
        <w:tc>
          <w:tcPr>
            <w:tcW w:w="7198" w:type="dxa"/>
            <w:shd w:val="clear" w:color="auto" w:fill="auto"/>
            <w:tcMar>
              <w:top w:w="15" w:type="dxa"/>
              <w:left w:w="15" w:type="dxa"/>
              <w:bottom w:w="0" w:type="dxa"/>
              <w:right w:w="15" w:type="dxa"/>
            </w:tcMar>
          </w:tcPr>
          <w:p w14:paraId="0B2655A9" w14:textId="77777777" w:rsidR="00BF46B4" w:rsidRPr="00D30BC1" w:rsidRDefault="00BF46B4" w:rsidP="00D30BC1">
            <w:pPr>
              <w:tabs>
                <w:tab w:val="left" w:pos="8745"/>
              </w:tabs>
              <w:spacing w:after="120"/>
              <w:rPr>
                <w:rFonts w:ascii="Arial" w:hAnsi="Arial" w:cs="Arial"/>
                <w:sz w:val="20"/>
                <w:szCs w:val="22"/>
              </w:rPr>
            </w:pPr>
            <w:r w:rsidRPr="00D30BC1">
              <w:rPr>
                <w:rFonts w:ascii="Arial" w:hAnsi="Arial" w:cs="Arial"/>
                <w:sz w:val="20"/>
                <w:szCs w:val="22"/>
              </w:rPr>
              <w:t xml:space="preserve">A carried interest is an agreement under which one party (the carrying party) agrees to pay for a portion or all of the pre-production costs of another party (the carried party) on a license in which both own a portion of the working interest. </w:t>
            </w:r>
          </w:p>
          <w:p w14:paraId="58B0F4FB" w14:textId="77777777" w:rsidR="00BF46B4" w:rsidRPr="00D30BC1" w:rsidRDefault="00BF46B4" w:rsidP="00D30BC1">
            <w:pPr>
              <w:tabs>
                <w:tab w:val="left" w:pos="8745"/>
              </w:tabs>
              <w:spacing w:after="120"/>
              <w:rPr>
                <w:rFonts w:ascii="Arial" w:eastAsia="Arial Unicode MS" w:hAnsi="Arial" w:cs="Arial"/>
                <w:sz w:val="20"/>
                <w:szCs w:val="22"/>
              </w:rPr>
            </w:pPr>
            <w:r w:rsidRPr="00D30BC1">
              <w:rPr>
                <w:rFonts w:ascii="Arial" w:eastAsia="Arial Unicode MS" w:hAnsi="Arial" w:cs="Arial"/>
                <w:sz w:val="20"/>
                <w:szCs w:val="22"/>
              </w:rPr>
              <w:tab/>
            </w:r>
          </w:p>
        </w:tc>
      </w:tr>
      <w:tr w:rsidR="00BF46B4" w:rsidRPr="00D30BC1" w14:paraId="19E41F15" w14:textId="77777777" w:rsidTr="00D30BC1">
        <w:trPr>
          <w:trHeight w:val="396"/>
        </w:trPr>
        <w:tc>
          <w:tcPr>
            <w:tcW w:w="1445" w:type="dxa"/>
            <w:gridSpan w:val="2"/>
            <w:shd w:val="clear" w:color="auto" w:fill="auto"/>
            <w:tcMar>
              <w:top w:w="15" w:type="dxa"/>
              <w:left w:w="15" w:type="dxa"/>
              <w:bottom w:w="0" w:type="dxa"/>
              <w:right w:w="15" w:type="dxa"/>
            </w:tcMar>
          </w:tcPr>
          <w:p w14:paraId="506DA0D4" w14:textId="77777777" w:rsidR="00BF46B4" w:rsidRPr="00D30BC1" w:rsidRDefault="00BF46B4" w:rsidP="00D30BC1">
            <w:pPr>
              <w:rPr>
                <w:rFonts w:ascii="Arial" w:hAnsi="Arial" w:cs="Arial"/>
                <w:sz w:val="20"/>
                <w:szCs w:val="22"/>
              </w:rPr>
            </w:pPr>
            <w:r w:rsidRPr="00D30BC1">
              <w:rPr>
                <w:rFonts w:ascii="Arial" w:hAnsi="Arial" w:cs="Arial"/>
                <w:sz w:val="20"/>
                <w:szCs w:val="22"/>
              </w:rPr>
              <w:t>Chance</w:t>
            </w:r>
          </w:p>
        </w:tc>
        <w:tc>
          <w:tcPr>
            <w:tcW w:w="1079" w:type="dxa"/>
            <w:gridSpan w:val="2"/>
            <w:shd w:val="clear" w:color="auto" w:fill="auto"/>
          </w:tcPr>
          <w:p w14:paraId="18BFCE71"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w:t>
            </w:r>
            <w:r w:rsidR="000B0A6A" w:rsidRPr="00D30BC1">
              <w:rPr>
                <w:rFonts w:ascii="Arial" w:hAnsi="Arial" w:cs="Arial"/>
                <w:sz w:val="18"/>
                <w:szCs w:val="22"/>
              </w:rPr>
              <w:t>-</w:t>
            </w:r>
            <w:r w:rsidRPr="00D30BC1">
              <w:rPr>
                <w:rFonts w:ascii="Arial" w:hAnsi="Arial" w:cs="Arial"/>
                <w:sz w:val="18"/>
                <w:szCs w:val="22"/>
              </w:rPr>
              <w:t xml:space="preserve"> 1.1</w:t>
            </w:r>
          </w:p>
        </w:tc>
        <w:tc>
          <w:tcPr>
            <w:tcW w:w="7198" w:type="dxa"/>
            <w:shd w:val="clear" w:color="auto" w:fill="auto"/>
            <w:tcMar>
              <w:top w:w="15" w:type="dxa"/>
              <w:left w:w="15" w:type="dxa"/>
              <w:bottom w:w="0" w:type="dxa"/>
              <w:right w:w="15" w:type="dxa"/>
            </w:tcMar>
          </w:tcPr>
          <w:p w14:paraId="115F8E55"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Chance is 1- Risk. (See Risk)</w:t>
            </w:r>
          </w:p>
        </w:tc>
      </w:tr>
      <w:tr w:rsidR="00BF46B4" w:rsidRPr="00D30BC1" w14:paraId="0E41BBC3" w14:textId="77777777" w:rsidTr="00D30BC1">
        <w:trPr>
          <w:trHeight w:val="1054"/>
        </w:trPr>
        <w:tc>
          <w:tcPr>
            <w:tcW w:w="1445" w:type="dxa"/>
            <w:gridSpan w:val="2"/>
            <w:shd w:val="clear" w:color="auto" w:fill="auto"/>
            <w:tcMar>
              <w:top w:w="15" w:type="dxa"/>
              <w:left w:w="15" w:type="dxa"/>
              <w:bottom w:w="0" w:type="dxa"/>
              <w:right w:w="15" w:type="dxa"/>
            </w:tcMar>
          </w:tcPr>
          <w:p w14:paraId="5F89380D" w14:textId="77777777" w:rsidR="00BF46B4" w:rsidRPr="00D30BC1" w:rsidRDefault="00E86E7A" w:rsidP="00D30BC1">
            <w:pPr>
              <w:rPr>
                <w:rFonts w:ascii="Arial" w:eastAsia="Arial Unicode MS" w:hAnsi="Arial" w:cs="Arial"/>
                <w:sz w:val="20"/>
                <w:szCs w:val="22"/>
              </w:rPr>
            </w:pPr>
            <w:r w:rsidRPr="00D30BC1">
              <w:rPr>
                <w:rFonts w:ascii="Arial" w:hAnsi="Arial" w:cs="Arial"/>
                <w:sz w:val="20"/>
                <w:szCs w:val="22"/>
              </w:rPr>
              <w:t>Coalb</w:t>
            </w:r>
            <w:r w:rsidR="00BF46B4" w:rsidRPr="00D30BC1">
              <w:rPr>
                <w:rFonts w:ascii="Arial" w:hAnsi="Arial" w:cs="Arial"/>
                <w:sz w:val="20"/>
                <w:szCs w:val="22"/>
              </w:rPr>
              <w:t>ed Methane (CBM)</w:t>
            </w:r>
          </w:p>
        </w:tc>
        <w:tc>
          <w:tcPr>
            <w:tcW w:w="1079" w:type="dxa"/>
            <w:gridSpan w:val="2"/>
            <w:shd w:val="clear" w:color="auto" w:fill="auto"/>
          </w:tcPr>
          <w:p w14:paraId="2E38393E" w14:textId="77777777" w:rsidR="00BF46B4" w:rsidRPr="00D30BC1" w:rsidRDefault="00BF46B4" w:rsidP="00D30BC1">
            <w:pPr>
              <w:rPr>
                <w:rFonts w:ascii="Arial" w:hAnsi="Arial" w:cs="Arial"/>
                <w:sz w:val="18"/>
                <w:szCs w:val="22"/>
              </w:rPr>
            </w:pPr>
            <w:r w:rsidRPr="00D30BC1">
              <w:rPr>
                <w:rFonts w:ascii="Arial" w:hAnsi="Arial" w:cs="Arial"/>
                <w:sz w:val="18"/>
                <w:szCs w:val="22"/>
              </w:rPr>
              <w:t>2007 - 2.4</w:t>
            </w:r>
          </w:p>
        </w:tc>
        <w:tc>
          <w:tcPr>
            <w:tcW w:w="7198" w:type="dxa"/>
            <w:shd w:val="clear" w:color="auto" w:fill="auto"/>
            <w:tcMar>
              <w:top w:w="15" w:type="dxa"/>
              <w:left w:w="15" w:type="dxa"/>
              <w:bottom w:w="0" w:type="dxa"/>
              <w:right w:w="15" w:type="dxa"/>
            </w:tcMar>
          </w:tcPr>
          <w:p w14:paraId="3DF8D64A"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Natural gas contained in coal deposits, whether or not stored in gaseous phase.  </w:t>
            </w:r>
            <w:r w:rsidR="00E86E7A" w:rsidRPr="00D30BC1">
              <w:rPr>
                <w:rFonts w:ascii="Arial" w:eastAsia="Arial Unicode MS" w:hAnsi="Arial" w:cs="Arial"/>
                <w:sz w:val="20"/>
                <w:szCs w:val="22"/>
              </w:rPr>
              <w:t>Coal</w:t>
            </w:r>
            <w:r w:rsidRPr="00D30BC1">
              <w:rPr>
                <w:rFonts w:ascii="Arial" w:eastAsia="Arial Unicode MS" w:hAnsi="Arial" w:cs="Arial"/>
                <w:sz w:val="20"/>
                <w:szCs w:val="22"/>
              </w:rPr>
              <w:t>bed gas, although usually mostly methane, may be produced with variable amounts of i</w:t>
            </w:r>
            <w:r w:rsidR="00E86E7A" w:rsidRPr="00D30BC1">
              <w:rPr>
                <w:rFonts w:ascii="Arial" w:eastAsia="Arial Unicode MS" w:hAnsi="Arial" w:cs="Arial"/>
                <w:sz w:val="20"/>
                <w:szCs w:val="22"/>
              </w:rPr>
              <w:t>nert or even non-inert gases. (A</w:t>
            </w:r>
            <w:r w:rsidRPr="00D30BC1">
              <w:rPr>
                <w:rFonts w:ascii="Arial" w:eastAsia="Arial Unicode MS" w:hAnsi="Arial" w:cs="Arial"/>
                <w:sz w:val="20"/>
                <w:szCs w:val="22"/>
              </w:rPr>
              <w:t>lso termed Coal Seam Gas</w:t>
            </w:r>
            <w:r w:rsidR="00E86E7A" w:rsidRPr="00D30BC1">
              <w:rPr>
                <w:rFonts w:ascii="Arial" w:eastAsia="Arial Unicode MS" w:hAnsi="Arial" w:cs="Arial"/>
                <w:sz w:val="20"/>
                <w:szCs w:val="22"/>
              </w:rPr>
              <w:t xml:space="preserve">, </w:t>
            </w:r>
            <w:r w:rsidRPr="00D30BC1">
              <w:rPr>
                <w:rFonts w:ascii="Arial" w:eastAsia="Arial Unicode MS" w:hAnsi="Arial" w:cs="Arial"/>
                <w:sz w:val="20"/>
                <w:szCs w:val="22"/>
              </w:rPr>
              <w:t>CSG</w:t>
            </w:r>
            <w:r w:rsidR="00E86E7A" w:rsidRPr="00D30BC1">
              <w:rPr>
                <w:rFonts w:ascii="Arial" w:eastAsia="Arial Unicode MS" w:hAnsi="Arial" w:cs="Arial"/>
                <w:sz w:val="20"/>
                <w:szCs w:val="22"/>
              </w:rPr>
              <w:t>, or Natural Gas from Coal,</w:t>
            </w:r>
            <w:r w:rsidRPr="00D30BC1">
              <w:rPr>
                <w:rFonts w:ascii="Arial" w:eastAsia="Arial Unicode MS" w:hAnsi="Arial" w:cs="Arial"/>
                <w:sz w:val="20"/>
                <w:szCs w:val="22"/>
              </w:rPr>
              <w:t xml:space="preserve"> NGC)</w:t>
            </w:r>
          </w:p>
        </w:tc>
      </w:tr>
      <w:tr w:rsidR="00BF46B4" w:rsidRPr="00D30BC1" w14:paraId="3E32C517" w14:textId="77777777" w:rsidTr="00D30BC1">
        <w:trPr>
          <w:trHeight w:val="508"/>
        </w:trPr>
        <w:tc>
          <w:tcPr>
            <w:tcW w:w="1445" w:type="dxa"/>
            <w:gridSpan w:val="2"/>
            <w:shd w:val="clear" w:color="auto" w:fill="auto"/>
            <w:tcMar>
              <w:top w:w="15" w:type="dxa"/>
              <w:left w:w="15" w:type="dxa"/>
              <w:bottom w:w="0" w:type="dxa"/>
              <w:right w:w="15" w:type="dxa"/>
            </w:tcMar>
          </w:tcPr>
          <w:p w14:paraId="0ACCEA61"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Commercial</w:t>
            </w:r>
          </w:p>
        </w:tc>
        <w:tc>
          <w:tcPr>
            <w:tcW w:w="1079" w:type="dxa"/>
            <w:gridSpan w:val="2"/>
            <w:shd w:val="clear" w:color="auto" w:fill="auto"/>
          </w:tcPr>
          <w:p w14:paraId="72484A1A"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2007 - 2.1.2 and Table </w:t>
            </w:r>
            <w:r w:rsidR="00BE753F" w:rsidRPr="00D30BC1">
              <w:rPr>
                <w:rFonts w:ascii="Arial" w:hAnsi="Arial" w:cs="Arial"/>
                <w:sz w:val="18"/>
                <w:szCs w:val="22"/>
              </w:rPr>
              <w:t>1</w:t>
            </w:r>
          </w:p>
        </w:tc>
        <w:tc>
          <w:tcPr>
            <w:tcW w:w="7198" w:type="dxa"/>
            <w:shd w:val="clear" w:color="auto" w:fill="auto"/>
            <w:tcMar>
              <w:top w:w="15" w:type="dxa"/>
              <w:left w:w="15" w:type="dxa"/>
              <w:bottom w:w="0" w:type="dxa"/>
              <w:right w:w="15" w:type="dxa"/>
            </w:tcMar>
          </w:tcPr>
          <w:p w14:paraId="5A4FB07E"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rPr>
              <w:t>When a project is commercial, this implies that the essential social, environmental and economic conditions are met, including political, legal, regulatory and contractual conditions.</w:t>
            </w:r>
            <w:r w:rsidRPr="00D30BC1">
              <w:t xml:space="preserve"> </w:t>
            </w:r>
            <w:r w:rsidRPr="00D30BC1">
              <w:rPr>
                <w:rFonts w:ascii="Arial" w:hAnsi="Arial" w:cs="Arial"/>
                <w:sz w:val="20"/>
              </w:rPr>
              <w:t>In addition</w:t>
            </w:r>
            <w:r w:rsidR="00BE753F" w:rsidRPr="00D30BC1">
              <w:rPr>
                <w:rFonts w:ascii="Arial" w:hAnsi="Arial" w:cs="Arial"/>
                <w:sz w:val="20"/>
              </w:rPr>
              <w:t>,</w:t>
            </w:r>
            <w:r w:rsidRPr="00D30BC1">
              <w:rPr>
                <w:rFonts w:ascii="Arial" w:hAnsi="Arial" w:cs="Arial"/>
                <w:sz w:val="20"/>
              </w:rPr>
              <w:t xml:space="preserve"> a</w:t>
            </w:r>
            <w:r w:rsidRPr="00D30BC1">
              <w:t xml:space="preserve"> </w:t>
            </w:r>
            <w:r w:rsidRPr="00D30BC1">
              <w:rPr>
                <w:rFonts w:ascii="Arial" w:hAnsi="Arial" w:cs="Arial"/>
                <w:sz w:val="20"/>
                <w:szCs w:val="22"/>
              </w:rPr>
              <w:t xml:space="preserve">project is commercial if the degree of commitment is such that the accumulation is expected to be developed and placed on production within a reasonable time frame. </w:t>
            </w:r>
            <w:r w:rsidRPr="00D30BC1">
              <w:rPr>
                <w:rFonts w:ascii="Arial" w:eastAsia="Arial Unicode MS" w:hAnsi="Arial" w:cs="Arial"/>
                <w:iCs/>
                <w:sz w:val="20"/>
              </w:rPr>
              <w:t xml:space="preserve">While </w:t>
            </w:r>
            <w:r w:rsidR="00BE753F" w:rsidRPr="00D30BC1">
              <w:rPr>
                <w:rFonts w:ascii="Arial" w:eastAsia="Arial Unicode MS" w:hAnsi="Arial" w:cs="Arial"/>
                <w:iCs/>
                <w:sz w:val="20"/>
              </w:rPr>
              <w:t>5</w:t>
            </w:r>
            <w:r w:rsidRPr="00D30BC1">
              <w:rPr>
                <w:rFonts w:ascii="Arial" w:eastAsia="Arial Unicode MS" w:hAnsi="Arial" w:cs="Arial"/>
                <w:iCs/>
                <w:sz w:val="20"/>
              </w:rPr>
              <w:t xml:space="preserve"> years is recommended as a benchmark, </w:t>
            </w:r>
            <w:r w:rsidRPr="00D30BC1">
              <w:rPr>
                <w:rFonts w:ascii="Arial" w:hAnsi="Arial" w:cs="Arial"/>
                <w:sz w:val="20"/>
              </w:rPr>
              <w:t xml:space="preserve">a longer time frame could be applied where, for example, development of economic projects are deferred at the option of the producer </w:t>
            </w:r>
            <w:r w:rsidRPr="00D30BC1">
              <w:rPr>
                <w:rFonts w:ascii="Arial" w:hAnsi="Arial" w:cs="Arial"/>
                <w:bCs/>
                <w:sz w:val="20"/>
              </w:rPr>
              <w:t xml:space="preserve">for, among other things, market-related reasons, or </w:t>
            </w:r>
            <w:r w:rsidRPr="00D30BC1">
              <w:rPr>
                <w:rFonts w:ascii="Arial" w:hAnsi="Arial" w:cs="Arial"/>
                <w:sz w:val="20"/>
              </w:rPr>
              <w:t xml:space="preserve">to meet contractual or strategic objectives. In all cases, the justification for classification as Reserves should be clearly documented. </w:t>
            </w:r>
          </w:p>
        </w:tc>
      </w:tr>
      <w:tr w:rsidR="00BF46B4" w:rsidRPr="00D30BC1" w14:paraId="26558F18" w14:textId="77777777" w:rsidTr="00D30BC1">
        <w:trPr>
          <w:trHeight w:val="1490"/>
        </w:trPr>
        <w:tc>
          <w:tcPr>
            <w:tcW w:w="1445" w:type="dxa"/>
            <w:gridSpan w:val="2"/>
            <w:shd w:val="clear" w:color="auto" w:fill="auto"/>
            <w:noWrap/>
            <w:tcMar>
              <w:top w:w="15" w:type="dxa"/>
              <w:left w:w="15" w:type="dxa"/>
              <w:bottom w:w="0" w:type="dxa"/>
              <w:right w:w="15" w:type="dxa"/>
            </w:tcMar>
          </w:tcPr>
          <w:p w14:paraId="3CBFCBBD" w14:textId="77777777" w:rsidR="00BF46B4" w:rsidRPr="00D30BC1" w:rsidRDefault="00BF46B4" w:rsidP="00D30BC1">
            <w:pPr>
              <w:rPr>
                <w:rFonts w:ascii="Arial" w:hAnsi="Arial" w:cs="Arial"/>
                <w:sz w:val="20"/>
                <w:szCs w:val="22"/>
              </w:rPr>
            </w:pPr>
            <w:r w:rsidRPr="00D30BC1">
              <w:rPr>
                <w:rFonts w:ascii="Arial" w:hAnsi="Arial" w:cs="Arial"/>
                <w:sz w:val="20"/>
                <w:szCs w:val="22"/>
              </w:rPr>
              <w:t xml:space="preserve">Committed </w:t>
            </w:r>
          </w:p>
          <w:p w14:paraId="24F7D6F9"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 xml:space="preserve">Project </w:t>
            </w:r>
          </w:p>
        </w:tc>
        <w:tc>
          <w:tcPr>
            <w:tcW w:w="1079" w:type="dxa"/>
            <w:gridSpan w:val="2"/>
            <w:shd w:val="clear" w:color="auto" w:fill="auto"/>
          </w:tcPr>
          <w:p w14:paraId="52FEC29B" w14:textId="77777777" w:rsidR="00BF46B4" w:rsidRPr="00D30BC1" w:rsidRDefault="00BF46B4" w:rsidP="00D30BC1">
            <w:pPr>
              <w:rPr>
                <w:rFonts w:ascii="Arial" w:hAnsi="Arial" w:cs="Arial"/>
                <w:sz w:val="18"/>
                <w:szCs w:val="22"/>
              </w:rPr>
            </w:pPr>
            <w:r w:rsidRPr="00D30BC1">
              <w:rPr>
                <w:rFonts w:ascii="Arial" w:hAnsi="Arial" w:cs="Arial"/>
                <w:sz w:val="18"/>
                <w:szCs w:val="22"/>
              </w:rPr>
              <w:t>2007 - 2.1.2</w:t>
            </w:r>
          </w:p>
          <w:p w14:paraId="127C9E56"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and Table </w:t>
            </w:r>
            <w:r w:rsidR="002A224E" w:rsidRPr="00D30BC1">
              <w:rPr>
                <w:rFonts w:ascii="Arial" w:hAnsi="Arial" w:cs="Arial"/>
                <w:sz w:val="18"/>
                <w:szCs w:val="22"/>
              </w:rPr>
              <w:t>1</w:t>
            </w:r>
          </w:p>
        </w:tc>
        <w:tc>
          <w:tcPr>
            <w:tcW w:w="7198" w:type="dxa"/>
            <w:shd w:val="clear" w:color="auto" w:fill="auto"/>
            <w:tcMar>
              <w:top w:w="15" w:type="dxa"/>
              <w:left w:w="15" w:type="dxa"/>
              <w:bottom w:w="0" w:type="dxa"/>
              <w:right w:w="15" w:type="dxa"/>
            </w:tcMar>
          </w:tcPr>
          <w:p w14:paraId="51D2FD8B"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Projects are committed only when it can be demonstrated that there is a firm intention to develop them and bring them to production. Intention may be demonstrated with funding/financial plans and declaration of commerciality based on realistic expectations of regulatory approvals and reasonable satisfaction of other conditions that would otherwise prevent the project from being developed and brought to production. </w:t>
            </w:r>
          </w:p>
        </w:tc>
      </w:tr>
      <w:tr w:rsidR="00BF46B4" w:rsidRPr="00D30BC1" w14:paraId="28BBEB52" w14:textId="77777777" w:rsidTr="00D30BC1">
        <w:trPr>
          <w:trHeight w:val="2055"/>
        </w:trPr>
        <w:tc>
          <w:tcPr>
            <w:tcW w:w="1445" w:type="dxa"/>
            <w:gridSpan w:val="2"/>
            <w:shd w:val="clear" w:color="auto" w:fill="auto"/>
            <w:tcMar>
              <w:top w:w="15" w:type="dxa"/>
              <w:left w:w="15" w:type="dxa"/>
              <w:bottom w:w="0" w:type="dxa"/>
              <w:right w:w="15" w:type="dxa"/>
            </w:tcMar>
          </w:tcPr>
          <w:p w14:paraId="3B5F5E24"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Completion</w:t>
            </w:r>
          </w:p>
        </w:tc>
        <w:tc>
          <w:tcPr>
            <w:tcW w:w="1079" w:type="dxa"/>
            <w:gridSpan w:val="2"/>
            <w:shd w:val="clear" w:color="auto" w:fill="auto"/>
          </w:tcPr>
          <w:p w14:paraId="54AB5D6C" w14:textId="77777777" w:rsidR="00BF46B4" w:rsidRPr="00D30BC1" w:rsidRDefault="00BF46B4" w:rsidP="00D30BC1">
            <w:pPr>
              <w:pStyle w:val="font5"/>
              <w:spacing w:before="0" w:beforeAutospacing="0" w:after="0" w:afterAutospacing="0"/>
              <w:rPr>
                <w:rFonts w:ascii="Arial" w:hAnsi="Arial" w:cs="Arial"/>
                <w:sz w:val="18"/>
                <w:szCs w:val="22"/>
              </w:rPr>
            </w:pPr>
          </w:p>
        </w:tc>
        <w:tc>
          <w:tcPr>
            <w:tcW w:w="7198" w:type="dxa"/>
            <w:shd w:val="clear" w:color="auto" w:fill="auto"/>
            <w:tcMar>
              <w:top w:w="15" w:type="dxa"/>
              <w:left w:w="15" w:type="dxa"/>
              <w:bottom w:w="0" w:type="dxa"/>
              <w:right w:w="15" w:type="dxa"/>
            </w:tcMar>
          </w:tcPr>
          <w:p w14:paraId="4D2BE9FA" w14:textId="77777777" w:rsidR="00BF46B4" w:rsidRPr="00D30BC1" w:rsidRDefault="00BF46B4" w:rsidP="00BF5934">
            <w:pPr>
              <w:pStyle w:val="font5"/>
              <w:spacing w:before="0" w:beforeAutospacing="0" w:after="120" w:afterAutospacing="0"/>
              <w:rPr>
                <w:rFonts w:ascii="Arial" w:hAnsi="Arial" w:cs="Arial"/>
                <w:sz w:val="20"/>
                <w:szCs w:val="22"/>
              </w:rPr>
            </w:pPr>
            <w:r w:rsidRPr="00D30BC1">
              <w:rPr>
                <w:rFonts w:ascii="Arial" w:hAnsi="Arial" w:cs="Arial"/>
                <w:sz w:val="20"/>
                <w:szCs w:val="22"/>
              </w:rPr>
              <w:t>Completion of a well.  The process by which a well is brought to its final classification</w:t>
            </w:r>
            <w:r w:rsidR="00EF3662" w:rsidRPr="00D30BC1">
              <w:rPr>
                <w:rFonts w:ascii="Arial" w:hAnsi="Arial" w:cs="Arial"/>
                <w:sz w:val="20"/>
                <w:szCs w:val="22"/>
              </w:rPr>
              <w:t>—</w:t>
            </w:r>
            <w:r w:rsidRPr="00D30BC1">
              <w:rPr>
                <w:rFonts w:ascii="Arial" w:hAnsi="Arial" w:cs="Arial"/>
                <w:sz w:val="20"/>
                <w:szCs w:val="22"/>
              </w:rPr>
              <w:t xml:space="preserve">basically dry hole, producer, injector, or monitor well.  A dry hole is normally plugged and abandoned.  A well deemed to be producible of petroleum, or used as an injector, is completed by establishing a connection between the reservoir(s) and the surface so that fluids can be </w:t>
            </w:r>
            <w:r w:rsidR="00EF3662" w:rsidRPr="00D30BC1">
              <w:rPr>
                <w:rFonts w:ascii="Arial" w:hAnsi="Arial" w:cs="Arial"/>
                <w:sz w:val="20"/>
                <w:szCs w:val="22"/>
              </w:rPr>
              <w:t xml:space="preserve">produced from, or injected into, </w:t>
            </w:r>
            <w:r w:rsidRPr="00D30BC1">
              <w:rPr>
                <w:rFonts w:ascii="Arial" w:hAnsi="Arial" w:cs="Arial"/>
                <w:sz w:val="20"/>
                <w:szCs w:val="22"/>
              </w:rPr>
              <w:t>the reservoir.  Various methods are u</w:t>
            </w:r>
            <w:r w:rsidR="00BF5934">
              <w:rPr>
                <w:rFonts w:ascii="Arial" w:hAnsi="Arial" w:cs="Arial"/>
                <w:sz w:val="20"/>
                <w:szCs w:val="22"/>
              </w:rPr>
              <w:t>s</w:t>
            </w:r>
            <w:r w:rsidRPr="00D30BC1">
              <w:rPr>
                <w:rFonts w:ascii="Arial" w:hAnsi="Arial" w:cs="Arial"/>
                <w:sz w:val="20"/>
                <w:szCs w:val="22"/>
              </w:rPr>
              <w:t>ed to establish this connection, but they commonly involve the installation of some combination of borehole equipment, casing and tubing, and surface injection or production facilities.</w:t>
            </w:r>
          </w:p>
        </w:tc>
      </w:tr>
      <w:tr w:rsidR="00BF46B4" w:rsidRPr="00D30BC1" w14:paraId="508AC3C0" w14:textId="77777777" w:rsidTr="00D30BC1">
        <w:trPr>
          <w:trHeight w:val="611"/>
        </w:trPr>
        <w:tc>
          <w:tcPr>
            <w:tcW w:w="1445" w:type="dxa"/>
            <w:gridSpan w:val="2"/>
            <w:shd w:val="clear" w:color="auto" w:fill="auto"/>
            <w:tcMar>
              <w:top w:w="15" w:type="dxa"/>
              <w:left w:w="15" w:type="dxa"/>
              <w:bottom w:w="0" w:type="dxa"/>
              <w:right w:w="15" w:type="dxa"/>
            </w:tcMar>
          </w:tcPr>
          <w:p w14:paraId="4C3F77EA"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Completion Interval</w:t>
            </w:r>
          </w:p>
        </w:tc>
        <w:tc>
          <w:tcPr>
            <w:tcW w:w="1079" w:type="dxa"/>
            <w:gridSpan w:val="2"/>
            <w:shd w:val="clear" w:color="auto" w:fill="auto"/>
          </w:tcPr>
          <w:p w14:paraId="39E81EA8" w14:textId="77777777" w:rsidR="00BF46B4" w:rsidRPr="00D30BC1" w:rsidRDefault="00BF46B4" w:rsidP="00D30BC1">
            <w:pPr>
              <w:rPr>
                <w:rFonts w:ascii="Arial" w:hAnsi="Arial" w:cs="Arial"/>
                <w:sz w:val="18"/>
                <w:szCs w:val="22"/>
              </w:rPr>
            </w:pPr>
          </w:p>
        </w:tc>
        <w:tc>
          <w:tcPr>
            <w:tcW w:w="7198" w:type="dxa"/>
            <w:shd w:val="clear" w:color="auto" w:fill="auto"/>
            <w:tcMar>
              <w:top w:w="15" w:type="dxa"/>
              <w:left w:w="15" w:type="dxa"/>
              <w:bottom w:w="0" w:type="dxa"/>
              <w:right w:w="15" w:type="dxa"/>
            </w:tcMar>
          </w:tcPr>
          <w:p w14:paraId="18ECD3EC"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The specific reservoir interval(s) that is (are) open to the borehole and connected to the surface facilities for production or injection, or reservoir intervals open to the wellbore and each other for injection purposes.</w:t>
            </w:r>
          </w:p>
        </w:tc>
      </w:tr>
      <w:tr w:rsidR="00BF46B4" w:rsidRPr="00D30BC1" w14:paraId="6036DB7A" w14:textId="77777777" w:rsidTr="00D30BC1">
        <w:trPr>
          <w:trHeight w:val="1346"/>
        </w:trPr>
        <w:tc>
          <w:tcPr>
            <w:tcW w:w="1445" w:type="dxa"/>
            <w:gridSpan w:val="2"/>
            <w:shd w:val="clear" w:color="auto" w:fill="auto"/>
            <w:tcMar>
              <w:top w:w="15" w:type="dxa"/>
              <w:left w:w="15" w:type="dxa"/>
              <w:bottom w:w="0" w:type="dxa"/>
              <w:right w:w="15" w:type="dxa"/>
            </w:tcMar>
          </w:tcPr>
          <w:p w14:paraId="76846D5F"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Concession</w:t>
            </w:r>
          </w:p>
        </w:tc>
        <w:tc>
          <w:tcPr>
            <w:tcW w:w="1079" w:type="dxa"/>
            <w:gridSpan w:val="2"/>
            <w:shd w:val="clear" w:color="auto" w:fill="auto"/>
          </w:tcPr>
          <w:p w14:paraId="5164C06F" w14:textId="77777777" w:rsidR="00BF46B4" w:rsidRPr="00D30BC1" w:rsidRDefault="00BF46B4" w:rsidP="00D30BC1">
            <w:pPr>
              <w:pStyle w:val="font5"/>
              <w:spacing w:before="0" w:beforeAutospacing="0" w:after="0" w:afterAutospacing="0"/>
              <w:rPr>
                <w:rFonts w:ascii="Arial" w:hAnsi="Arial" w:cs="Arial"/>
                <w:sz w:val="18"/>
                <w:szCs w:val="22"/>
              </w:rPr>
            </w:pPr>
            <w:r w:rsidRPr="00D30BC1">
              <w:rPr>
                <w:rFonts w:ascii="Arial" w:hAnsi="Arial" w:cs="Arial"/>
                <w:sz w:val="18"/>
                <w:szCs w:val="22"/>
              </w:rPr>
              <w:t xml:space="preserve">2001 - 9.6.1 </w:t>
            </w:r>
          </w:p>
        </w:tc>
        <w:tc>
          <w:tcPr>
            <w:tcW w:w="7198" w:type="dxa"/>
            <w:shd w:val="clear" w:color="auto" w:fill="auto"/>
            <w:tcMar>
              <w:top w:w="15" w:type="dxa"/>
              <w:left w:w="15" w:type="dxa"/>
              <w:bottom w:w="0" w:type="dxa"/>
              <w:right w:w="15" w:type="dxa"/>
            </w:tcMar>
          </w:tcPr>
          <w:p w14:paraId="213743F5"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A grant of access for a defined area and time period that transfers certain entitlements to produced hydrocarbons from the host country to an enterprise.  The enterprise is generally responsible for exploration, development, production, and sale of hydrocarbons that may be discovered.  Typically granted under a legislated fiscal system where the host country collects taxes, fees, and sometimes royalty on profits earned.</w:t>
            </w:r>
          </w:p>
        </w:tc>
      </w:tr>
      <w:tr w:rsidR="00BF46B4" w:rsidRPr="00D30BC1" w14:paraId="055A186A" w14:textId="77777777" w:rsidTr="00D30BC1">
        <w:trPr>
          <w:trHeight w:val="849"/>
        </w:trPr>
        <w:tc>
          <w:tcPr>
            <w:tcW w:w="1445" w:type="dxa"/>
            <w:gridSpan w:val="2"/>
            <w:shd w:val="clear" w:color="auto" w:fill="auto"/>
            <w:tcMar>
              <w:top w:w="15" w:type="dxa"/>
              <w:left w:w="15" w:type="dxa"/>
              <w:bottom w:w="0" w:type="dxa"/>
              <w:right w:w="15" w:type="dxa"/>
            </w:tcMar>
          </w:tcPr>
          <w:p w14:paraId="338ED07B"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Condensate</w:t>
            </w:r>
          </w:p>
        </w:tc>
        <w:tc>
          <w:tcPr>
            <w:tcW w:w="1079" w:type="dxa"/>
            <w:gridSpan w:val="2"/>
            <w:shd w:val="clear" w:color="auto" w:fill="auto"/>
          </w:tcPr>
          <w:p w14:paraId="08E0CD83" w14:textId="77777777" w:rsidR="00BF46B4" w:rsidRPr="00D30BC1" w:rsidRDefault="00BF46B4" w:rsidP="00D30BC1">
            <w:pPr>
              <w:rPr>
                <w:rFonts w:ascii="Arial" w:hAnsi="Arial" w:cs="Arial"/>
                <w:sz w:val="18"/>
                <w:szCs w:val="22"/>
              </w:rPr>
            </w:pPr>
            <w:r w:rsidRPr="00D30BC1">
              <w:rPr>
                <w:rFonts w:ascii="Arial" w:hAnsi="Arial" w:cs="Arial"/>
                <w:sz w:val="18"/>
                <w:szCs w:val="22"/>
              </w:rPr>
              <w:t>2001 - 3.2</w:t>
            </w:r>
          </w:p>
          <w:p w14:paraId="3338D15D" w14:textId="77777777" w:rsidR="00BF46B4" w:rsidRPr="00D30BC1" w:rsidRDefault="00BF46B4" w:rsidP="00D30BC1">
            <w:pPr>
              <w:rPr>
                <w:rFonts w:ascii="Arial" w:hAnsi="Arial" w:cs="Arial"/>
                <w:sz w:val="18"/>
                <w:szCs w:val="22"/>
              </w:rPr>
            </w:pPr>
          </w:p>
        </w:tc>
        <w:tc>
          <w:tcPr>
            <w:tcW w:w="7198" w:type="dxa"/>
            <w:shd w:val="clear" w:color="auto" w:fill="auto"/>
            <w:tcMar>
              <w:top w:w="15" w:type="dxa"/>
              <w:left w:w="15" w:type="dxa"/>
              <w:bottom w:w="0" w:type="dxa"/>
              <w:right w:w="15" w:type="dxa"/>
            </w:tcMar>
          </w:tcPr>
          <w:p w14:paraId="25C4AE29"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 xml:space="preserve">Condensates are a mixture of hydrocarbons (mainly pentanes and heavier) that exist in the gaseous phase at original temperature and pressure of the reservoir, but when produced, are in the liquid phase at surface pressure and temperature conditions. Condensate differs from natural gas liquids (NGL) on two respects: </w:t>
            </w:r>
            <w:r w:rsidR="00EF3662" w:rsidRPr="00D30BC1">
              <w:rPr>
                <w:rFonts w:ascii="Arial" w:hAnsi="Arial" w:cs="Arial"/>
                <w:sz w:val="20"/>
                <w:szCs w:val="22"/>
              </w:rPr>
              <w:t>(</w:t>
            </w:r>
            <w:r w:rsidRPr="00D30BC1">
              <w:rPr>
                <w:rFonts w:ascii="Arial" w:hAnsi="Arial" w:cs="Arial"/>
                <w:sz w:val="20"/>
                <w:szCs w:val="22"/>
              </w:rPr>
              <w:t xml:space="preserve">1) NGL is extracted and recovered in gas plants rather than lease separators or other lease facilities; and </w:t>
            </w:r>
            <w:r w:rsidR="00EF3662" w:rsidRPr="00D30BC1">
              <w:rPr>
                <w:rFonts w:ascii="Arial" w:hAnsi="Arial" w:cs="Arial"/>
                <w:sz w:val="20"/>
                <w:szCs w:val="22"/>
              </w:rPr>
              <w:t>(</w:t>
            </w:r>
            <w:r w:rsidRPr="00D30BC1">
              <w:rPr>
                <w:rFonts w:ascii="Arial" w:hAnsi="Arial" w:cs="Arial"/>
                <w:sz w:val="20"/>
                <w:szCs w:val="22"/>
              </w:rPr>
              <w:t>2) NGL includes very light hydrocarbons (ethane, propane, butanes) as well as the pentanes-plus that are the main constituents of condensate.</w:t>
            </w:r>
          </w:p>
        </w:tc>
      </w:tr>
      <w:tr w:rsidR="00BF46B4" w:rsidRPr="00D30BC1" w14:paraId="1635DE93" w14:textId="77777777" w:rsidTr="00D30BC1">
        <w:trPr>
          <w:trHeight w:val="507"/>
        </w:trPr>
        <w:tc>
          <w:tcPr>
            <w:tcW w:w="1445" w:type="dxa"/>
            <w:gridSpan w:val="2"/>
            <w:shd w:val="clear" w:color="auto" w:fill="auto"/>
            <w:tcMar>
              <w:top w:w="15" w:type="dxa"/>
              <w:left w:w="15" w:type="dxa"/>
              <w:bottom w:w="0" w:type="dxa"/>
              <w:right w:w="15" w:type="dxa"/>
            </w:tcMar>
          </w:tcPr>
          <w:p w14:paraId="6C6752DA" w14:textId="77777777" w:rsidR="00BF46B4" w:rsidRPr="00D30BC1" w:rsidRDefault="00BF46B4" w:rsidP="00D30BC1">
            <w:pPr>
              <w:rPr>
                <w:rFonts w:ascii="Arial" w:hAnsi="Arial" w:cs="Arial"/>
                <w:sz w:val="20"/>
                <w:szCs w:val="22"/>
              </w:rPr>
            </w:pPr>
            <w:r w:rsidRPr="00D30BC1">
              <w:rPr>
                <w:rFonts w:ascii="Arial" w:hAnsi="Arial" w:cs="Arial"/>
                <w:sz w:val="20"/>
                <w:szCs w:val="22"/>
              </w:rPr>
              <w:t>Conditions</w:t>
            </w:r>
          </w:p>
        </w:tc>
        <w:tc>
          <w:tcPr>
            <w:tcW w:w="1079" w:type="dxa"/>
            <w:gridSpan w:val="2"/>
            <w:shd w:val="clear" w:color="auto" w:fill="auto"/>
          </w:tcPr>
          <w:p w14:paraId="52E265D0" w14:textId="77777777" w:rsidR="00BF46B4" w:rsidRPr="00D30BC1" w:rsidRDefault="00BF46B4" w:rsidP="00D30BC1">
            <w:pPr>
              <w:rPr>
                <w:rFonts w:ascii="Arial" w:hAnsi="Arial" w:cs="Arial"/>
                <w:sz w:val="18"/>
                <w:szCs w:val="22"/>
              </w:rPr>
            </w:pPr>
            <w:r w:rsidRPr="00D30BC1">
              <w:rPr>
                <w:rFonts w:ascii="Arial" w:hAnsi="Arial" w:cs="Arial"/>
                <w:sz w:val="18"/>
                <w:szCs w:val="22"/>
              </w:rPr>
              <w:t>2007 - 3.1</w:t>
            </w:r>
          </w:p>
        </w:tc>
        <w:tc>
          <w:tcPr>
            <w:tcW w:w="7198" w:type="dxa"/>
            <w:shd w:val="clear" w:color="auto" w:fill="auto"/>
            <w:tcMar>
              <w:top w:w="15" w:type="dxa"/>
              <w:left w:w="15" w:type="dxa"/>
              <w:bottom w:w="0" w:type="dxa"/>
              <w:right w:w="15" w:type="dxa"/>
            </w:tcMar>
          </w:tcPr>
          <w:p w14:paraId="5268B6B3"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The economic, marketing, legal, environmental, social, and governmental factors forecast to exist and impact the project during the time period being evalua</w:t>
            </w:r>
            <w:r w:rsidR="00EF3662" w:rsidRPr="00D30BC1">
              <w:rPr>
                <w:rFonts w:ascii="Arial" w:hAnsi="Arial" w:cs="Arial"/>
                <w:sz w:val="20"/>
                <w:szCs w:val="22"/>
              </w:rPr>
              <w:t>ted (also termed Contingencies).</w:t>
            </w:r>
          </w:p>
        </w:tc>
      </w:tr>
      <w:tr w:rsidR="00BF46B4" w:rsidRPr="00D30BC1" w14:paraId="101968CC" w14:textId="77777777" w:rsidTr="00D30BC1">
        <w:trPr>
          <w:trHeight w:val="897"/>
        </w:trPr>
        <w:tc>
          <w:tcPr>
            <w:tcW w:w="1445" w:type="dxa"/>
            <w:gridSpan w:val="2"/>
            <w:shd w:val="clear" w:color="auto" w:fill="auto"/>
            <w:tcMar>
              <w:top w:w="15" w:type="dxa"/>
              <w:left w:w="15" w:type="dxa"/>
              <w:bottom w:w="0" w:type="dxa"/>
              <w:right w:w="15" w:type="dxa"/>
            </w:tcMar>
          </w:tcPr>
          <w:p w14:paraId="2BA8764F" w14:textId="77777777" w:rsidR="00BF46B4" w:rsidRPr="00D30BC1" w:rsidRDefault="00BF46B4" w:rsidP="00D30BC1">
            <w:pPr>
              <w:rPr>
                <w:rFonts w:ascii="Arial" w:hAnsi="Arial" w:cs="Arial"/>
                <w:sz w:val="20"/>
                <w:szCs w:val="22"/>
              </w:rPr>
            </w:pPr>
            <w:r w:rsidRPr="00D30BC1">
              <w:rPr>
                <w:rFonts w:ascii="Arial" w:hAnsi="Arial" w:cs="Arial"/>
                <w:sz w:val="20"/>
                <w:szCs w:val="22"/>
              </w:rPr>
              <w:t xml:space="preserve">Constant </w:t>
            </w:r>
          </w:p>
          <w:p w14:paraId="78CF846B" w14:textId="77777777" w:rsidR="00BF46B4" w:rsidRPr="00D30BC1" w:rsidRDefault="00BF46B4" w:rsidP="00D30BC1">
            <w:pPr>
              <w:rPr>
                <w:rFonts w:ascii="Arial" w:hAnsi="Arial" w:cs="Arial"/>
                <w:sz w:val="20"/>
                <w:szCs w:val="22"/>
              </w:rPr>
            </w:pPr>
            <w:r w:rsidRPr="00D30BC1">
              <w:rPr>
                <w:rFonts w:ascii="Arial" w:hAnsi="Arial" w:cs="Arial"/>
                <w:sz w:val="20"/>
                <w:szCs w:val="22"/>
              </w:rPr>
              <w:t>Case</w:t>
            </w:r>
          </w:p>
        </w:tc>
        <w:tc>
          <w:tcPr>
            <w:tcW w:w="1079" w:type="dxa"/>
            <w:gridSpan w:val="2"/>
            <w:shd w:val="clear" w:color="auto" w:fill="auto"/>
          </w:tcPr>
          <w:p w14:paraId="4C180743" w14:textId="77777777" w:rsidR="00BF46B4" w:rsidRPr="00D30BC1" w:rsidRDefault="00BF46B4" w:rsidP="00D30BC1">
            <w:pPr>
              <w:rPr>
                <w:rFonts w:ascii="Arial" w:hAnsi="Arial" w:cs="Arial"/>
                <w:sz w:val="18"/>
                <w:szCs w:val="22"/>
              </w:rPr>
            </w:pPr>
            <w:r w:rsidRPr="00D30BC1">
              <w:rPr>
                <w:rFonts w:ascii="Arial" w:hAnsi="Arial" w:cs="Arial"/>
                <w:sz w:val="18"/>
                <w:szCs w:val="22"/>
              </w:rPr>
              <w:t>2007 - 3.1.1</w:t>
            </w:r>
          </w:p>
        </w:tc>
        <w:tc>
          <w:tcPr>
            <w:tcW w:w="7198" w:type="dxa"/>
            <w:shd w:val="clear" w:color="auto" w:fill="auto"/>
            <w:tcMar>
              <w:top w:w="15" w:type="dxa"/>
              <w:left w:w="15" w:type="dxa"/>
              <w:bottom w:w="0" w:type="dxa"/>
              <w:right w:w="15" w:type="dxa"/>
            </w:tcMar>
          </w:tcPr>
          <w:p w14:paraId="50DB820F"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Modifier applied to project resources estimates and associated cash flows when such estimates are based on those conditions (including costs and product prices) that are fixed at a defined point in time (or period average) and are applied unchanged throughout the project life, other than those permitted contractually. In other word</w:t>
            </w:r>
            <w:r w:rsidR="00EF3662" w:rsidRPr="00D30BC1">
              <w:rPr>
                <w:rFonts w:ascii="Arial" w:hAnsi="Arial" w:cs="Arial"/>
                <w:sz w:val="20"/>
                <w:szCs w:val="22"/>
              </w:rPr>
              <w:t>s</w:t>
            </w:r>
            <w:r w:rsidRPr="00D30BC1">
              <w:rPr>
                <w:rFonts w:ascii="Arial" w:hAnsi="Arial" w:cs="Arial"/>
                <w:sz w:val="20"/>
                <w:szCs w:val="22"/>
              </w:rPr>
              <w:t>, no inflation or deflation adjustments are made to costs or revenues over the evaluation period.</w:t>
            </w:r>
          </w:p>
        </w:tc>
      </w:tr>
      <w:tr w:rsidR="00BF46B4" w:rsidRPr="00D30BC1" w14:paraId="6EE96AA9" w14:textId="77777777" w:rsidTr="00D30BC1">
        <w:trPr>
          <w:trHeight w:val="448"/>
        </w:trPr>
        <w:tc>
          <w:tcPr>
            <w:tcW w:w="1445" w:type="dxa"/>
            <w:gridSpan w:val="2"/>
            <w:shd w:val="clear" w:color="auto" w:fill="auto"/>
            <w:tcMar>
              <w:top w:w="15" w:type="dxa"/>
              <w:left w:w="15" w:type="dxa"/>
              <w:bottom w:w="0" w:type="dxa"/>
              <w:right w:w="15" w:type="dxa"/>
            </w:tcMar>
          </w:tcPr>
          <w:p w14:paraId="39D60A70" w14:textId="77777777" w:rsidR="00BF46B4" w:rsidRPr="00D30BC1" w:rsidRDefault="00BF46B4" w:rsidP="00D30BC1">
            <w:pPr>
              <w:rPr>
                <w:rFonts w:ascii="Arial" w:hAnsi="Arial" w:cs="Arial"/>
                <w:sz w:val="20"/>
                <w:szCs w:val="22"/>
              </w:rPr>
            </w:pPr>
            <w:r w:rsidRPr="00D30BC1">
              <w:rPr>
                <w:rFonts w:ascii="Arial" w:hAnsi="Arial" w:cs="Arial"/>
                <w:sz w:val="20"/>
                <w:szCs w:val="22"/>
              </w:rPr>
              <w:t>Contingency</w:t>
            </w:r>
          </w:p>
        </w:tc>
        <w:tc>
          <w:tcPr>
            <w:tcW w:w="1079" w:type="dxa"/>
            <w:gridSpan w:val="2"/>
            <w:shd w:val="clear" w:color="auto" w:fill="auto"/>
          </w:tcPr>
          <w:p w14:paraId="635B4A98" w14:textId="77777777" w:rsidR="00BF46B4" w:rsidRPr="00D30BC1" w:rsidRDefault="00BF46B4" w:rsidP="00D30BC1">
            <w:pPr>
              <w:rPr>
                <w:rFonts w:ascii="Arial" w:hAnsi="Arial" w:cs="Arial"/>
                <w:sz w:val="18"/>
                <w:szCs w:val="22"/>
              </w:rPr>
            </w:pPr>
            <w:r w:rsidRPr="00D30BC1">
              <w:rPr>
                <w:rFonts w:ascii="Arial" w:hAnsi="Arial" w:cs="Arial"/>
                <w:sz w:val="18"/>
                <w:szCs w:val="22"/>
              </w:rPr>
              <w:t>2007 - 3.1</w:t>
            </w:r>
          </w:p>
          <w:p w14:paraId="4049963D"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and Table </w:t>
            </w:r>
            <w:r w:rsidR="00EF3662" w:rsidRPr="00D30BC1">
              <w:rPr>
                <w:rFonts w:ascii="Arial" w:hAnsi="Arial" w:cs="Arial"/>
                <w:sz w:val="18"/>
                <w:szCs w:val="22"/>
              </w:rPr>
              <w:t>1</w:t>
            </w:r>
          </w:p>
        </w:tc>
        <w:tc>
          <w:tcPr>
            <w:tcW w:w="7198" w:type="dxa"/>
            <w:shd w:val="clear" w:color="auto" w:fill="auto"/>
            <w:tcMar>
              <w:top w:w="15" w:type="dxa"/>
              <w:left w:w="15" w:type="dxa"/>
              <w:bottom w:w="0" w:type="dxa"/>
              <w:right w:w="15" w:type="dxa"/>
            </w:tcMar>
          </w:tcPr>
          <w:p w14:paraId="62158703"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 xml:space="preserve"> See Conditions</w:t>
            </w:r>
            <w:r w:rsidR="00EF3662" w:rsidRPr="00D30BC1">
              <w:rPr>
                <w:rFonts w:ascii="Arial" w:hAnsi="Arial" w:cs="Arial"/>
                <w:sz w:val="20"/>
                <w:szCs w:val="22"/>
              </w:rPr>
              <w:t>.</w:t>
            </w:r>
          </w:p>
        </w:tc>
      </w:tr>
      <w:tr w:rsidR="00BF46B4" w:rsidRPr="00D30BC1" w14:paraId="4D967AF3" w14:textId="77777777" w:rsidTr="00D30BC1">
        <w:trPr>
          <w:trHeight w:val="553"/>
        </w:trPr>
        <w:tc>
          <w:tcPr>
            <w:tcW w:w="1445" w:type="dxa"/>
            <w:gridSpan w:val="2"/>
            <w:shd w:val="clear" w:color="auto" w:fill="auto"/>
            <w:tcMar>
              <w:top w:w="15" w:type="dxa"/>
              <w:left w:w="15" w:type="dxa"/>
              <w:bottom w:w="0" w:type="dxa"/>
              <w:right w:w="15" w:type="dxa"/>
            </w:tcMar>
          </w:tcPr>
          <w:p w14:paraId="0BADB6CE" w14:textId="77777777" w:rsidR="00BF46B4" w:rsidRPr="00D30BC1" w:rsidRDefault="00BF46B4" w:rsidP="00D30BC1">
            <w:pPr>
              <w:rPr>
                <w:rFonts w:ascii="Arial" w:hAnsi="Arial" w:cs="Arial"/>
                <w:sz w:val="20"/>
                <w:szCs w:val="22"/>
              </w:rPr>
            </w:pPr>
            <w:r w:rsidRPr="00D30BC1">
              <w:rPr>
                <w:rFonts w:ascii="Arial" w:hAnsi="Arial" w:cs="Arial"/>
                <w:sz w:val="20"/>
                <w:szCs w:val="22"/>
              </w:rPr>
              <w:t xml:space="preserve">Contingent </w:t>
            </w:r>
          </w:p>
          <w:p w14:paraId="224AB569"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Project</w:t>
            </w:r>
          </w:p>
        </w:tc>
        <w:tc>
          <w:tcPr>
            <w:tcW w:w="1079" w:type="dxa"/>
            <w:gridSpan w:val="2"/>
            <w:shd w:val="clear" w:color="auto" w:fill="auto"/>
          </w:tcPr>
          <w:p w14:paraId="271E35F1" w14:textId="77777777" w:rsidR="00BF46B4" w:rsidRPr="00D30BC1" w:rsidRDefault="00BF46B4" w:rsidP="00D30BC1">
            <w:pPr>
              <w:rPr>
                <w:rFonts w:ascii="Arial" w:hAnsi="Arial" w:cs="Arial"/>
                <w:sz w:val="18"/>
                <w:szCs w:val="22"/>
              </w:rPr>
            </w:pPr>
            <w:r w:rsidRPr="00D30BC1">
              <w:rPr>
                <w:rFonts w:ascii="Arial" w:hAnsi="Arial" w:cs="Arial"/>
                <w:sz w:val="18"/>
                <w:szCs w:val="22"/>
              </w:rPr>
              <w:t>2007 - 2.1.2</w:t>
            </w:r>
          </w:p>
        </w:tc>
        <w:tc>
          <w:tcPr>
            <w:tcW w:w="7198" w:type="dxa"/>
            <w:shd w:val="clear" w:color="auto" w:fill="auto"/>
            <w:tcMar>
              <w:top w:w="15" w:type="dxa"/>
              <w:left w:w="15" w:type="dxa"/>
              <w:bottom w:w="0" w:type="dxa"/>
              <w:right w:w="15" w:type="dxa"/>
            </w:tcMar>
          </w:tcPr>
          <w:p w14:paraId="4D082C40"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Development and production of recoverable quantities has not been committed due to conditions that may or may not be fulfilled.</w:t>
            </w:r>
          </w:p>
        </w:tc>
      </w:tr>
      <w:tr w:rsidR="00BF46B4" w:rsidRPr="00D30BC1" w14:paraId="1EA342BE" w14:textId="77777777" w:rsidTr="00D30BC1">
        <w:trPr>
          <w:trHeight w:val="897"/>
        </w:trPr>
        <w:tc>
          <w:tcPr>
            <w:tcW w:w="1445" w:type="dxa"/>
            <w:gridSpan w:val="2"/>
            <w:shd w:val="clear" w:color="auto" w:fill="auto"/>
            <w:tcMar>
              <w:top w:w="15" w:type="dxa"/>
              <w:left w:w="15" w:type="dxa"/>
              <w:bottom w:w="0" w:type="dxa"/>
              <w:right w:w="15" w:type="dxa"/>
            </w:tcMar>
          </w:tcPr>
          <w:p w14:paraId="20F7A51B"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Contingent Resources</w:t>
            </w:r>
          </w:p>
        </w:tc>
        <w:tc>
          <w:tcPr>
            <w:tcW w:w="1079" w:type="dxa"/>
            <w:gridSpan w:val="2"/>
            <w:shd w:val="clear" w:color="auto" w:fill="auto"/>
          </w:tcPr>
          <w:p w14:paraId="5785B4B4"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2007 - 1.1 and Table </w:t>
            </w:r>
            <w:r w:rsidR="00EF3662" w:rsidRPr="00D30BC1">
              <w:rPr>
                <w:rFonts w:ascii="Arial" w:hAnsi="Arial" w:cs="Arial"/>
                <w:sz w:val="18"/>
                <w:szCs w:val="22"/>
              </w:rPr>
              <w:t>1</w:t>
            </w:r>
            <w:r w:rsidRPr="00D30BC1">
              <w:rPr>
                <w:rFonts w:ascii="Arial" w:hAnsi="Arial" w:cs="Arial"/>
                <w:sz w:val="18"/>
                <w:szCs w:val="22"/>
              </w:rPr>
              <w:t xml:space="preserve"> </w:t>
            </w:r>
          </w:p>
        </w:tc>
        <w:tc>
          <w:tcPr>
            <w:tcW w:w="7198" w:type="dxa"/>
            <w:shd w:val="clear" w:color="auto" w:fill="auto"/>
            <w:tcMar>
              <w:top w:w="15" w:type="dxa"/>
              <w:left w:w="15" w:type="dxa"/>
              <w:bottom w:w="0" w:type="dxa"/>
              <w:right w:w="15" w:type="dxa"/>
            </w:tcMar>
          </w:tcPr>
          <w:p w14:paraId="3F724A90" w14:textId="77777777" w:rsidR="00BF46B4" w:rsidRPr="00D30BC1" w:rsidRDefault="00BF46B4" w:rsidP="00D30BC1">
            <w:pPr>
              <w:spacing w:after="120"/>
              <w:rPr>
                <w:rFonts w:ascii="Arial" w:hAnsi="Arial" w:cs="Arial"/>
                <w:sz w:val="20"/>
                <w:szCs w:val="20"/>
              </w:rPr>
            </w:pPr>
            <w:r w:rsidRPr="00D30BC1">
              <w:rPr>
                <w:rFonts w:ascii="Arial" w:hAnsi="Arial" w:cs="Arial"/>
                <w:sz w:val="20"/>
                <w:szCs w:val="20"/>
              </w:rPr>
              <w:t>Those quantities of petroleum estimated, as of a given date, to be potentially recoverable from known accumulations by application of development projects but which are not currently considered to be commercially recoverable due to one or more contingencies. Contingent Resources are a class of discovered recoverable resources.</w:t>
            </w:r>
          </w:p>
        </w:tc>
      </w:tr>
      <w:tr w:rsidR="00BF46B4" w:rsidRPr="00D30BC1" w14:paraId="47FAB882" w14:textId="77777777" w:rsidTr="00D30BC1">
        <w:trPr>
          <w:trHeight w:val="1002"/>
        </w:trPr>
        <w:tc>
          <w:tcPr>
            <w:tcW w:w="1445" w:type="dxa"/>
            <w:gridSpan w:val="2"/>
            <w:shd w:val="clear" w:color="auto" w:fill="auto"/>
            <w:tcMar>
              <w:top w:w="15" w:type="dxa"/>
              <w:left w:w="15" w:type="dxa"/>
              <w:bottom w:w="0" w:type="dxa"/>
              <w:right w:w="15" w:type="dxa"/>
            </w:tcMar>
          </w:tcPr>
          <w:p w14:paraId="784430FC"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Continuous-Type Deposit</w:t>
            </w:r>
          </w:p>
        </w:tc>
        <w:tc>
          <w:tcPr>
            <w:tcW w:w="1079" w:type="dxa"/>
            <w:gridSpan w:val="2"/>
            <w:shd w:val="clear" w:color="auto" w:fill="auto"/>
          </w:tcPr>
          <w:p w14:paraId="6B183C10" w14:textId="77777777" w:rsidR="00BF46B4" w:rsidRPr="00D30BC1" w:rsidRDefault="00BF46B4" w:rsidP="00D30BC1">
            <w:pPr>
              <w:rPr>
                <w:rFonts w:ascii="Arial" w:hAnsi="Arial" w:cs="Arial"/>
                <w:sz w:val="18"/>
                <w:szCs w:val="22"/>
              </w:rPr>
            </w:pPr>
            <w:r w:rsidRPr="00D30BC1">
              <w:rPr>
                <w:rFonts w:ascii="Arial" w:hAnsi="Arial" w:cs="Arial"/>
                <w:sz w:val="18"/>
                <w:szCs w:val="22"/>
              </w:rPr>
              <w:t>2007 - 2.4</w:t>
            </w:r>
          </w:p>
          <w:p w14:paraId="1BC53038" w14:textId="77777777" w:rsidR="00BF46B4" w:rsidRPr="00D30BC1" w:rsidRDefault="00BF46B4" w:rsidP="00D30BC1">
            <w:pPr>
              <w:rPr>
                <w:rFonts w:ascii="Arial" w:hAnsi="Arial" w:cs="Arial"/>
                <w:sz w:val="18"/>
                <w:szCs w:val="22"/>
              </w:rPr>
            </w:pPr>
            <w:r w:rsidRPr="00D30BC1">
              <w:rPr>
                <w:rFonts w:ascii="Arial" w:hAnsi="Arial" w:cs="Arial"/>
                <w:sz w:val="18"/>
                <w:szCs w:val="22"/>
              </w:rPr>
              <w:t>2001 - 2.3</w:t>
            </w:r>
          </w:p>
        </w:tc>
        <w:tc>
          <w:tcPr>
            <w:tcW w:w="7198" w:type="dxa"/>
            <w:shd w:val="clear" w:color="auto" w:fill="auto"/>
            <w:tcMar>
              <w:top w:w="15" w:type="dxa"/>
              <w:left w:w="15" w:type="dxa"/>
              <w:bottom w:w="0" w:type="dxa"/>
              <w:right w:w="15" w:type="dxa"/>
            </w:tcMar>
          </w:tcPr>
          <w:p w14:paraId="76D7984D"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 xml:space="preserve">A petroleum accumulation that is pervasive throughout a large area and which is not significantly affected by hydrodynamic influences. Such accumulations are included in Unconventional Resources. Examples of such deposits include </w:t>
            </w:r>
            <w:r w:rsidR="00C30824" w:rsidRPr="00D30BC1">
              <w:rPr>
                <w:rFonts w:cs="Arial"/>
                <w:sz w:val="18"/>
                <w:szCs w:val="22"/>
              </w:rPr>
              <w:t>“</w:t>
            </w:r>
            <w:r w:rsidRPr="00D30BC1">
              <w:rPr>
                <w:rFonts w:ascii="Arial" w:hAnsi="Arial" w:cs="Arial"/>
                <w:sz w:val="20"/>
                <w:szCs w:val="22"/>
              </w:rPr>
              <w:t>basin-centered</w:t>
            </w:r>
            <w:r w:rsidR="00C30824" w:rsidRPr="00D30BC1">
              <w:rPr>
                <w:rFonts w:cs="Arial"/>
                <w:sz w:val="18"/>
                <w:szCs w:val="22"/>
              </w:rPr>
              <w:t>”</w:t>
            </w:r>
            <w:r w:rsidRPr="00D30BC1">
              <w:rPr>
                <w:rFonts w:ascii="Arial" w:hAnsi="Arial" w:cs="Arial"/>
                <w:sz w:val="20"/>
                <w:szCs w:val="22"/>
              </w:rPr>
              <w:t xml:space="preserve"> gas, shale gas, gas hydrates, natural bitumen and oil shale accumulations.</w:t>
            </w:r>
          </w:p>
        </w:tc>
      </w:tr>
      <w:tr w:rsidR="00BF46B4" w:rsidRPr="00D30BC1" w14:paraId="7CF79066" w14:textId="77777777" w:rsidTr="00D30BC1">
        <w:trPr>
          <w:trHeight w:val="560"/>
        </w:trPr>
        <w:tc>
          <w:tcPr>
            <w:tcW w:w="1445" w:type="dxa"/>
            <w:gridSpan w:val="2"/>
            <w:shd w:val="clear" w:color="auto" w:fill="auto"/>
            <w:tcMar>
              <w:top w:w="15" w:type="dxa"/>
              <w:left w:w="15" w:type="dxa"/>
              <w:bottom w:w="0" w:type="dxa"/>
              <w:right w:w="15" w:type="dxa"/>
            </w:tcMar>
          </w:tcPr>
          <w:p w14:paraId="78853AD9" w14:textId="77777777" w:rsidR="00BF46B4" w:rsidRPr="00D30BC1" w:rsidRDefault="00BF46B4" w:rsidP="00D30BC1">
            <w:pPr>
              <w:rPr>
                <w:rFonts w:ascii="Arial" w:hAnsi="Arial" w:cs="Arial"/>
                <w:sz w:val="20"/>
                <w:szCs w:val="22"/>
              </w:rPr>
            </w:pPr>
            <w:r w:rsidRPr="00D30BC1">
              <w:rPr>
                <w:rFonts w:ascii="Arial" w:hAnsi="Arial" w:cs="Arial"/>
                <w:sz w:val="20"/>
                <w:szCs w:val="22"/>
              </w:rPr>
              <w:t>Conventional Crude Oil</w:t>
            </w:r>
          </w:p>
          <w:p w14:paraId="2A2F9F0E" w14:textId="77777777" w:rsidR="00BF46B4" w:rsidRPr="00D30BC1" w:rsidRDefault="00BF46B4" w:rsidP="00D30BC1">
            <w:pPr>
              <w:rPr>
                <w:rFonts w:ascii="Arial" w:eastAsia="Arial Unicode MS" w:hAnsi="Arial" w:cs="Arial"/>
                <w:sz w:val="20"/>
                <w:szCs w:val="22"/>
              </w:rPr>
            </w:pPr>
          </w:p>
        </w:tc>
        <w:tc>
          <w:tcPr>
            <w:tcW w:w="1079" w:type="dxa"/>
            <w:gridSpan w:val="2"/>
            <w:shd w:val="clear" w:color="auto" w:fill="auto"/>
          </w:tcPr>
          <w:p w14:paraId="7FF59840" w14:textId="77777777" w:rsidR="00BF46B4" w:rsidRPr="00D30BC1" w:rsidRDefault="00BF46B4" w:rsidP="00D30BC1">
            <w:pPr>
              <w:pStyle w:val="font5"/>
              <w:spacing w:before="0" w:beforeAutospacing="0" w:after="0" w:afterAutospacing="0"/>
              <w:rPr>
                <w:rFonts w:ascii="Arial" w:eastAsia="Times New Roman" w:hAnsi="Arial" w:cs="Arial"/>
                <w:sz w:val="18"/>
                <w:szCs w:val="22"/>
              </w:rPr>
            </w:pPr>
            <w:r w:rsidRPr="00D30BC1">
              <w:rPr>
                <w:rFonts w:ascii="Arial" w:eastAsia="Times New Roman" w:hAnsi="Arial" w:cs="Arial"/>
                <w:sz w:val="18"/>
                <w:szCs w:val="22"/>
              </w:rPr>
              <w:t>2007 - 2.4</w:t>
            </w:r>
          </w:p>
        </w:tc>
        <w:tc>
          <w:tcPr>
            <w:tcW w:w="7198" w:type="dxa"/>
            <w:shd w:val="clear" w:color="auto" w:fill="auto"/>
            <w:tcMar>
              <w:top w:w="15" w:type="dxa"/>
              <w:left w:w="15" w:type="dxa"/>
              <w:bottom w:w="0" w:type="dxa"/>
              <w:right w:w="15" w:type="dxa"/>
            </w:tcMar>
          </w:tcPr>
          <w:p w14:paraId="0BDEC9FC" w14:textId="77777777" w:rsidR="00BF46B4" w:rsidRPr="00D30BC1" w:rsidRDefault="00A31B96" w:rsidP="00D30BC1">
            <w:pPr>
              <w:spacing w:after="120"/>
              <w:rPr>
                <w:rFonts w:ascii="Arial" w:eastAsia="Arial Unicode MS" w:hAnsi="Arial" w:cs="Arial"/>
                <w:sz w:val="20"/>
                <w:szCs w:val="22"/>
              </w:rPr>
            </w:pPr>
            <w:r w:rsidRPr="00D30BC1">
              <w:rPr>
                <w:rFonts w:ascii="Arial" w:hAnsi="Arial" w:cs="Arial"/>
                <w:sz w:val="20"/>
                <w:szCs w:val="22"/>
              </w:rPr>
              <w:t>Crude o</w:t>
            </w:r>
            <w:r w:rsidR="00BF46B4" w:rsidRPr="00D30BC1">
              <w:rPr>
                <w:rFonts w:ascii="Arial" w:hAnsi="Arial" w:cs="Arial"/>
                <w:sz w:val="20"/>
                <w:szCs w:val="22"/>
              </w:rPr>
              <w:t>il flowing naturally or capable of being pumped without further processing or dilution (see Crude Oil).</w:t>
            </w:r>
          </w:p>
        </w:tc>
      </w:tr>
      <w:tr w:rsidR="00BF46B4" w:rsidRPr="00D30BC1" w14:paraId="3478A1E5" w14:textId="77777777" w:rsidTr="00D30BC1">
        <w:trPr>
          <w:trHeight w:val="815"/>
        </w:trPr>
        <w:tc>
          <w:tcPr>
            <w:tcW w:w="1445" w:type="dxa"/>
            <w:gridSpan w:val="2"/>
            <w:shd w:val="clear" w:color="auto" w:fill="auto"/>
            <w:tcMar>
              <w:top w:w="15" w:type="dxa"/>
              <w:left w:w="15" w:type="dxa"/>
              <w:bottom w:w="0" w:type="dxa"/>
              <w:right w:w="15" w:type="dxa"/>
            </w:tcMar>
          </w:tcPr>
          <w:p w14:paraId="406BA0AD"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Conventional Gas</w:t>
            </w:r>
          </w:p>
        </w:tc>
        <w:tc>
          <w:tcPr>
            <w:tcW w:w="1079" w:type="dxa"/>
            <w:gridSpan w:val="2"/>
            <w:shd w:val="clear" w:color="auto" w:fill="auto"/>
          </w:tcPr>
          <w:p w14:paraId="7BFFDDFE" w14:textId="77777777" w:rsidR="00BF46B4" w:rsidRPr="00D30BC1" w:rsidRDefault="00BF46B4" w:rsidP="00D30BC1">
            <w:pPr>
              <w:rPr>
                <w:rFonts w:ascii="Arial" w:hAnsi="Arial" w:cs="Arial"/>
                <w:sz w:val="18"/>
                <w:szCs w:val="22"/>
              </w:rPr>
            </w:pPr>
            <w:r w:rsidRPr="00D30BC1">
              <w:rPr>
                <w:rFonts w:ascii="Arial" w:hAnsi="Arial" w:cs="Arial"/>
                <w:sz w:val="18"/>
                <w:szCs w:val="22"/>
              </w:rPr>
              <w:t>2007 - 2.4</w:t>
            </w:r>
          </w:p>
        </w:tc>
        <w:tc>
          <w:tcPr>
            <w:tcW w:w="7198" w:type="dxa"/>
            <w:shd w:val="clear" w:color="auto" w:fill="auto"/>
            <w:tcMar>
              <w:top w:w="15" w:type="dxa"/>
              <w:left w:w="15" w:type="dxa"/>
              <w:bottom w:w="0" w:type="dxa"/>
              <w:right w:w="15" w:type="dxa"/>
            </w:tcMar>
          </w:tcPr>
          <w:p w14:paraId="21F44E9D"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Conventional Gas is a natural gas occurring in a normal porous and permeable reservoir rock, either in the gaseous phase or dissolved in crude oil, and which technically can be produced by normal production practices.</w:t>
            </w:r>
          </w:p>
        </w:tc>
      </w:tr>
      <w:tr w:rsidR="00BF46B4" w:rsidRPr="00D30BC1" w14:paraId="148A2C42" w14:textId="77777777" w:rsidTr="00D30BC1">
        <w:trPr>
          <w:trHeight w:val="598"/>
        </w:trPr>
        <w:tc>
          <w:tcPr>
            <w:tcW w:w="1445" w:type="dxa"/>
            <w:gridSpan w:val="2"/>
            <w:shd w:val="clear" w:color="auto" w:fill="auto"/>
            <w:tcMar>
              <w:top w:w="15" w:type="dxa"/>
              <w:left w:w="15" w:type="dxa"/>
              <w:bottom w:w="0" w:type="dxa"/>
              <w:right w:w="15" w:type="dxa"/>
            </w:tcMar>
          </w:tcPr>
          <w:p w14:paraId="12E7A543" w14:textId="77777777" w:rsidR="00BF46B4" w:rsidRPr="00D30BC1" w:rsidRDefault="00BF46B4" w:rsidP="00D30BC1">
            <w:pPr>
              <w:rPr>
                <w:rFonts w:ascii="Arial" w:hAnsi="Arial" w:cs="Arial"/>
                <w:sz w:val="20"/>
                <w:szCs w:val="22"/>
              </w:rPr>
            </w:pPr>
            <w:r w:rsidRPr="00D30BC1">
              <w:rPr>
                <w:rFonts w:ascii="Arial" w:hAnsi="Arial" w:cs="Arial"/>
                <w:sz w:val="20"/>
                <w:szCs w:val="22"/>
              </w:rPr>
              <w:t>Conventional Resources</w:t>
            </w:r>
          </w:p>
        </w:tc>
        <w:tc>
          <w:tcPr>
            <w:tcW w:w="1079" w:type="dxa"/>
            <w:gridSpan w:val="2"/>
            <w:shd w:val="clear" w:color="auto" w:fill="auto"/>
          </w:tcPr>
          <w:p w14:paraId="5BBBB15D" w14:textId="77777777" w:rsidR="00BF46B4" w:rsidRPr="00D30BC1" w:rsidRDefault="00BF46B4" w:rsidP="00D30BC1">
            <w:pPr>
              <w:pStyle w:val="font5"/>
              <w:spacing w:before="0" w:beforeAutospacing="0" w:after="240" w:afterAutospacing="0"/>
              <w:rPr>
                <w:rFonts w:ascii="Arial" w:hAnsi="Arial" w:cs="Arial"/>
                <w:sz w:val="18"/>
                <w:szCs w:val="22"/>
              </w:rPr>
            </w:pPr>
            <w:r w:rsidRPr="00D30BC1">
              <w:rPr>
                <w:rFonts w:ascii="Arial" w:hAnsi="Arial" w:cs="Arial"/>
                <w:sz w:val="18"/>
                <w:szCs w:val="22"/>
              </w:rPr>
              <w:t>2007 - 2.4</w:t>
            </w:r>
          </w:p>
        </w:tc>
        <w:tc>
          <w:tcPr>
            <w:tcW w:w="7198" w:type="dxa"/>
            <w:shd w:val="clear" w:color="auto" w:fill="auto"/>
            <w:tcMar>
              <w:top w:w="15" w:type="dxa"/>
              <w:left w:w="15" w:type="dxa"/>
              <w:bottom w:w="0" w:type="dxa"/>
              <w:right w:w="15" w:type="dxa"/>
            </w:tcMar>
          </w:tcPr>
          <w:p w14:paraId="4A901533" w14:textId="77777777" w:rsidR="00BF46B4" w:rsidRPr="00D30BC1" w:rsidRDefault="00BF46B4" w:rsidP="00D30BC1">
            <w:pPr>
              <w:pStyle w:val="font5"/>
              <w:spacing w:before="0" w:beforeAutospacing="0" w:after="120" w:afterAutospacing="0"/>
              <w:rPr>
                <w:rFonts w:ascii="Arial" w:eastAsia="Times New Roman" w:hAnsi="Arial" w:cs="Arial"/>
                <w:sz w:val="20"/>
                <w:szCs w:val="22"/>
              </w:rPr>
            </w:pPr>
            <w:r w:rsidRPr="00D30BC1">
              <w:rPr>
                <w:rFonts w:ascii="Arial" w:hAnsi="Arial" w:cs="Arial"/>
                <w:sz w:val="20"/>
              </w:rPr>
              <w:t>Conventional resources exist in discrete petroleum accumulations related to localized geological structural features and/or stratigraphic conditions, typically with each</w:t>
            </w:r>
            <w:r w:rsidR="00A31B96" w:rsidRPr="00D30BC1">
              <w:rPr>
                <w:rFonts w:ascii="Arial" w:hAnsi="Arial" w:cs="Arial"/>
                <w:sz w:val="20"/>
              </w:rPr>
              <w:t xml:space="preserve"> accumulation bounded by a down</w:t>
            </w:r>
            <w:r w:rsidRPr="00D30BC1">
              <w:rPr>
                <w:rFonts w:ascii="Arial" w:hAnsi="Arial" w:cs="Arial"/>
                <w:sz w:val="20"/>
              </w:rPr>
              <w:t>dip contact with an aquifer, and which is significantly affected by hydrodynamic influences such as buoyancy of petroleum in water</w:t>
            </w:r>
            <w:r w:rsidRPr="00D30BC1">
              <w:rPr>
                <w:rFonts w:ascii="Arial" w:hAnsi="Arial" w:cs="Arial"/>
                <w:b/>
                <w:bCs/>
                <w:sz w:val="20"/>
              </w:rPr>
              <w:t>.</w:t>
            </w:r>
          </w:p>
        </w:tc>
      </w:tr>
      <w:tr w:rsidR="00BF46B4" w:rsidRPr="00D30BC1" w14:paraId="56876FE8" w14:textId="77777777" w:rsidTr="00D30BC1">
        <w:trPr>
          <w:trHeight w:val="755"/>
        </w:trPr>
        <w:tc>
          <w:tcPr>
            <w:tcW w:w="1445" w:type="dxa"/>
            <w:gridSpan w:val="2"/>
            <w:shd w:val="clear" w:color="auto" w:fill="auto"/>
            <w:tcMar>
              <w:top w:w="15" w:type="dxa"/>
              <w:left w:w="15" w:type="dxa"/>
              <w:bottom w:w="0" w:type="dxa"/>
              <w:right w:w="15" w:type="dxa"/>
            </w:tcMar>
          </w:tcPr>
          <w:p w14:paraId="13D09494"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Conveyance</w:t>
            </w:r>
          </w:p>
        </w:tc>
        <w:tc>
          <w:tcPr>
            <w:tcW w:w="1079" w:type="dxa"/>
            <w:gridSpan w:val="2"/>
            <w:shd w:val="clear" w:color="auto" w:fill="auto"/>
          </w:tcPr>
          <w:p w14:paraId="43E0B8DF" w14:textId="77777777" w:rsidR="00BF46B4" w:rsidRPr="00D30BC1" w:rsidRDefault="00BF46B4" w:rsidP="00D30BC1">
            <w:pPr>
              <w:pStyle w:val="font5"/>
              <w:spacing w:before="0" w:beforeAutospacing="0" w:after="240" w:afterAutospacing="0"/>
              <w:rPr>
                <w:rFonts w:ascii="Arial" w:eastAsia="Times New Roman" w:hAnsi="Arial" w:cs="Arial"/>
                <w:sz w:val="18"/>
                <w:szCs w:val="22"/>
              </w:rPr>
            </w:pPr>
            <w:r w:rsidRPr="00D30BC1">
              <w:rPr>
                <w:rFonts w:ascii="Arial" w:eastAsia="Times New Roman" w:hAnsi="Arial" w:cs="Arial"/>
                <w:sz w:val="18"/>
                <w:szCs w:val="22"/>
              </w:rPr>
              <w:t>2001 - 9.6.9</w:t>
            </w:r>
          </w:p>
        </w:tc>
        <w:tc>
          <w:tcPr>
            <w:tcW w:w="7198" w:type="dxa"/>
            <w:shd w:val="clear" w:color="auto" w:fill="auto"/>
            <w:tcMar>
              <w:top w:w="15" w:type="dxa"/>
              <w:left w:w="15" w:type="dxa"/>
              <w:bottom w:w="0" w:type="dxa"/>
              <w:right w:w="15" w:type="dxa"/>
            </w:tcMar>
          </w:tcPr>
          <w:p w14:paraId="1F212B50" w14:textId="77777777" w:rsidR="00BF46B4" w:rsidRPr="00D30BC1" w:rsidRDefault="00BF46B4" w:rsidP="00D30BC1">
            <w:pPr>
              <w:pStyle w:val="font5"/>
              <w:spacing w:before="0" w:beforeAutospacing="0" w:after="120" w:afterAutospacing="0"/>
              <w:rPr>
                <w:rFonts w:ascii="Arial" w:eastAsia="Times New Roman" w:hAnsi="Arial" w:cs="Arial"/>
                <w:sz w:val="20"/>
                <w:szCs w:val="22"/>
              </w:rPr>
            </w:pPr>
            <w:r w:rsidRPr="00D30BC1">
              <w:rPr>
                <w:rFonts w:ascii="Arial" w:eastAsia="Times New Roman" w:hAnsi="Arial" w:cs="Arial"/>
                <w:sz w:val="20"/>
                <w:szCs w:val="22"/>
              </w:rPr>
              <w:t xml:space="preserve">Certain transactions that are in substance borrowings repayable in cash or its equivalent and shall be accounted for as borrowings and may not qualify for the recognition and reporting of oil and gas reserves. </w:t>
            </w:r>
          </w:p>
        </w:tc>
      </w:tr>
      <w:tr w:rsidR="00BF46B4" w:rsidRPr="00D30BC1" w14:paraId="0B7833C6" w14:textId="77777777" w:rsidTr="00D30BC1">
        <w:trPr>
          <w:trHeight w:val="1256"/>
        </w:trPr>
        <w:tc>
          <w:tcPr>
            <w:tcW w:w="1445" w:type="dxa"/>
            <w:gridSpan w:val="2"/>
            <w:shd w:val="clear" w:color="auto" w:fill="auto"/>
            <w:tcMar>
              <w:top w:w="15" w:type="dxa"/>
              <w:left w:w="15" w:type="dxa"/>
              <w:bottom w:w="0" w:type="dxa"/>
              <w:right w:w="15" w:type="dxa"/>
            </w:tcMar>
          </w:tcPr>
          <w:p w14:paraId="24DCFAF0" w14:textId="77777777" w:rsidR="00BF46B4" w:rsidRPr="00D30BC1" w:rsidRDefault="00BF46B4" w:rsidP="00D30BC1">
            <w:pPr>
              <w:pStyle w:val="CommentText"/>
              <w:rPr>
                <w:rFonts w:ascii="Arial" w:eastAsia="Arial Unicode MS" w:hAnsi="Arial" w:cs="Arial"/>
                <w:szCs w:val="22"/>
              </w:rPr>
            </w:pPr>
            <w:r w:rsidRPr="00D30BC1">
              <w:rPr>
                <w:rFonts w:ascii="Arial" w:hAnsi="Arial" w:cs="Arial"/>
                <w:szCs w:val="22"/>
              </w:rPr>
              <w:t>Cost Recovery</w:t>
            </w:r>
          </w:p>
        </w:tc>
        <w:tc>
          <w:tcPr>
            <w:tcW w:w="1079" w:type="dxa"/>
            <w:gridSpan w:val="2"/>
            <w:shd w:val="clear" w:color="auto" w:fill="auto"/>
          </w:tcPr>
          <w:p w14:paraId="4C9392FE"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2001 </w:t>
            </w:r>
            <w:r w:rsidR="00F878AE" w:rsidRPr="00D30BC1">
              <w:rPr>
                <w:rFonts w:ascii="Arial" w:hAnsi="Arial" w:cs="Arial"/>
                <w:sz w:val="18"/>
                <w:szCs w:val="22"/>
              </w:rPr>
              <w:t>-</w:t>
            </w:r>
            <w:r w:rsidRPr="00D30BC1">
              <w:rPr>
                <w:rFonts w:ascii="Arial" w:hAnsi="Arial" w:cs="Arial"/>
                <w:sz w:val="18"/>
                <w:szCs w:val="22"/>
              </w:rPr>
              <w:t xml:space="preserve"> 9.6.2, 9.7.2</w:t>
            </w:r>
          </w:p>
        </w:tc>
        <w:tc>
          <w:tcPr>
            <w:tcW w:w="7198" w:type="dxa"/>
            <w:shd w:val="clear" w:color="auto" w:fill="auto"/>
            <w:tcMar>
              <w:top w:w="15" w:type="dxa"/>
              <w:left w:w="15" w:type="dxa"/>
              <w:bottom w:w="0" w:type="dxa"/>
              <w:right w:w="15" w:type="dxa"/>
            </w:tcMar>
          </w:tcPr>
          <w:p w14:paraId="547AF0E4"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Under a typical production-sharing agreement, the contractor is responsible for the field development and all exploration and development expenses. In return, the contractor recovers costs (investments and operating expenses) out of the gross production stream. The contractor normally receives payment in oil production and is exposed to both technical and market risks. </w:t>
            </w:r>
          </w:p>
        </w:tc>
      </w:tr>
      <w:tr w:rsidR="00BF46B4" w:rsidRPr="00D30BC1" w14:paraId="7DFE02DF" w14:textId="77777777" w:rsidTr="00D30BC1">
        <w:trPr>
          <w:trHeight w:val="1226"/>
        </w:trPr>
        <w:tc>
          <w:tcPr>
            <w:tcW w:w="1445" w:type="dxa"/>
            <w:gridSpan w:val="2"/>
            <w:shd w:val="clear" w:color="auto" w:fill="auto"/>
            <w:tcMar>
              <w:top w:w="15" w:type="dxa"/>
              <w:left w:w="15" w:type="dxa"/>
              <w:bottom w:w="0" w:type="dxa"/>
              <w:right w:w="15" w:type="dxa"/>
            </w:tcMar>
          </w:tcPr>
          <w:p w14:paraId="1D66D759"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Crude Oil</w:t>
            </w:r>
          </w:p>
        </w:tc>
        <w:tc>
          <w:tcPr>
            <w:tcW w:w="1079" w:type="dxa"/>
            <w:gridSpan w:val="2"/>
            <w:shd w:val="clear" w:color="auto" w:fill="auto"/>
          </w:tcPr>
          <w:p w14:paraId="0D602F73"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2001 </w:t>
            </w:r>
            <w:r w:rsidR="00F878AE" w:rsidRPr="00D30BC1">
              <w:rPr>
                <w:rFonts w:ascii="Arial" w:hAnsi="Arial" w:cs="Arial"/>
                <w:sz w:val="18"/>
                <w:szCs w:val="22"/>
              </w:rPr>
              <w:t>-</w:t>
            </w:r>
            <w:r w:rsidRPr="00D30BC1">
              <w:rPr>
                <w:rFonts w:ascii="Arial" w:hAnsi="Arial" w:cs="Arial"/>
                <w:sz w:val="18"/>
                <w:szCs w:val="22"/>
              </w:rPr>
              <w:t xml:space="preserve"> 3.1</w:t>
            </w:r>
          </w:p>
        </w:tc>
        <w:tc>
          <w:tcPr>
            <w:tcW w:w="7198" w:type="dxa"/>
            <w:shd w:val="clear" w:color="auto" w:fill="auto"/>
            <w:tcMar>
              <w:top w:w="15" w:type="dxa"/>
              <w:left w:w="15" w:type="dxa"/>
              <w:bottom w:w="0" w:type="dxa"/>
              <w:right w:w="15" w:type="dxa"/>
            </w:tcMar>
          </w:tcPr>
          <w:p w14:paraId="3E091882" w14:textId="77777777" w:rsidR="00BF46B4" w:rsidRPr="00D30BC1" w:rsidRDefault="00F878AE" w:rsidP="00D30BC1">
            <w:pPr>
              <w:spacing w:after="120"/>
              <w:rPr>
                <w:rFonts w:ascii="Arial" w:eastAsia="Arial Unicode MS" w:hAnsi="Arial" w:cs="Arial"/>
                <w:sz w:val="20"/>
                <w:szCs w:val="22"/>
              </w:rPr>
            </w:pPr>
            <w:r w:rsidRPr="00D30BC1">
              <w:rPr>
                <w:rFonts w:ascii="Arial" w:hAnsi="Arial" w:cs="Arial"/>
                <w:sz w:val="20"/>
                <w:szCs w:val="22"/>
              </w:rPr>
              <w:t>Crude o</w:t>
            </w:r>
            <w:r w:rsidR="00BF46B4" w:rsidRPr="00D30BC1">
              <w:rPr>
                <w:rFonts w:ascii="Arial" w:hAnsi="Arial" w:cs="Arial"/>
                <w:sz w:val="20"/>
                <w:szCs w:val="22"/>
              </w:rPr>
              <w:t xml:space="preserve">il is the portion of petroleum that exists in the liquid phase in natural underground reservoirs and remains liquid at atmospheric conditions of pressure and temperature. Crude </w:t>
            </w:r>
            <w:r w:rsidRPr="00D30BC1">
              <w:rPr>
                <w:rFonts w:ascii="Arial" w:hAnsi="Arial" w:cs="Arial"/>
                <w:sz w:val="20"/>
                <w:szCs w:val="22"/>
              </w:rPr>
              <w:t>o</w:t>
            </w:r>
            <w:r w:rsidR="00BF46B4" w:rsidRPr="00D30BC1">
              <w:rPr>
                <w:rFonts w:ascii="Arial" w:hAnsi="Arial" w:cs="Arial"/>
                <w:sz w:val="20"/>
                <w:szCs w:val="22"/>
              </w:rPr>
              <w:t xml:space="preserve">il may include small amounts of non-hydrocarbons produced with the liquids but does not include liquids obtained from the processing of natural gas. </w:t>
            </w:r>
          </w:p>
        </w:tc>
      </w:tr>
      <w:tr w:rsidR="00BF46B4" w:rsidRPr="00D30BC1" w14:paraId="4DB93A2D" w14:textId="77777777" w:rsidTr="00D30BC1">
        <w:trPr>
          <w:trHeight w:val="1556"/>
        </w:trPr>
        <w:tc>
          <w:tcPr>
            <w:tcW w:w="1445" w:type="dxa"/>
            <w:gridSpan w:val="2"/>
            <w:shd w:val="clear" w:color="auto" w:fill="auto"/>
            <w:tcMar>
              <w:top w:w="15" w:type="dxa"/>
              <w:left w:w="15" w:type="dxa"/>
              <w:bottom w:w="0" w:type="dxa"/>
              <w:right w:w="15" w:type="dxa"/>
            </w:tcMar>
          </w:tcPr>
          <w:p w14:paraId="14C12870"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Crude Oil Equivalent</w:t>
            </w:r>
          </w:p>
        </w:tc>
        <w:tc>
          <w:tcPr>
            <w:tcW w:w="1079" w:type="dxa"/>
            <w:gridSpan w:val="2"/>
            <w:shd w:val="clear" w:color="auto" w:fill="auto"/>
          </w:tcPr>
          <w:p w14:paraId="51391B3E" w14:textId="77777777" w:rsidR="00BF46B4" w:rsidRPr="00D30BC1" w:rsidRDefault="00BF46B4" w:rsidP="00D30BC1">
            <w:pPr>
              <w:rPr>
                <w:rFonts w:ascii="Arial" w:hAnsi="Arial" w:cs="Arial"/>
                <w:sz w:val="18"/>
                <w:szCs w:val="22"/>
              </w:rPr>
            </w:pPr>
            <w:r w:rsidRPr="00D30BC1">
              <w:rPr>
                <w:rFonts w:ascii="Arial" w:hAnsi="Arial" w:cs="Arial"/>
                <w:sz w:val="18"/>
                <w:szCs w:val="22"/>
              </w:rPr>
              <w:t>2001 - 3.7</w:t>
            </w:r>
          </w:p>
        </w:tc>
        <w:tc>
          <w:tcPr>
            <w:tcW w:w="7198" w:type="dxa"/>
            <w:shd w:val="clear" w:color="auto" w:fill="auto"/>
            <w:tcMar>
              <w:top w:w="15" w:type="dxa"/>
              <w:left w:w="15" w:type="dxa"/>
              <w:bottom w:w="0" w:type="dxa"/>
              <w:right w:w="15" w:type="dxa"/>
            </w:tcMar>
          </w:tcPr>
          <w:p w14:paraId="16D6E91A"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Converting gas volumes to the oil equivalent is customarily done on the basis of the nominal heating content or calorific value of the fuel. There are a number of methodologies in common use. Before aggregating, the gas volumes first must be converted to the same temperature and pressure. Common industry gas conversion factors usually range between 1 barrel of oil equivalent (</w:t>
            </w:r>
            <w:r w:rsidR="00C36A1F" w:rsidRPr="00D30BC1">
              <w:rPr>
                <w:rFonts w:ascii="Arial" w:hAnsi="Arial" w:cs="Arial"/>
                <w:sz w:val="20"/>
                <w:szCs w:val="22"/>
              </w:rPr>
              <w:t>BOE</w:t>
            </w:r>
            <w:r w:rsidRPr="00D30BC1">
              <w:rPr>
                <w:rFonts w:ascii="Arial" w:hAnsi="Arial" w:cs="Arial"/>
                <w:sz w:val="20"/>
                <w:szCs w:val="22"/>
              </w:rPr>
              <w:t xml:space="preserve">) = 5,600 </w:t>
            </w:r>
            <w:r w:rsidR="00203049" w:rsidRPr="00D30BC1">
              <w:rPr>
                <w:rFonts w:ascii="Arial" w:hAnsi="Arial" w:cs="Arial"/>
                <w:sz w:val="20"/>
                <w:szCs w:val="22"/>
              </w:rPr>
              <w:t xml:space="preserve">standard cubic feet </w:t>
            </w:r>
            <w:r w:rsidR="00C36A1F" w:rsidRPr="00D30BC1">
              <w:rPr>
                <w:rFonts w:ascii="Arial" w:hAnsi="Arial" w:cs="Arial"/>
                <w:sz w:val="20"/>
                <w:szCs w:val="22"/>
              </w:rPr>
              <w:t>(s</w:t>
            </w:r>
            <w:r w:rsidR="001E3C08" w:rsidRPr="00D30BC1">
              <w:rPr>
                <w:rFonts w:ascii="Arial" w:hAnsi="Arial" w:cs="Arial"/>
                <w:sz w:val="20"/>
                <w:szCs w:val="22"/>
              </w:rPr>
              <w:t>c</w:t>
            </w:r>
            <w:r w:rsidR="00C36A1F" w:rsidRPr="00D30BC1">
              <w:rPr>
                <w:rFonts w:ascii="Arial" w:hAnsi="Arial" w:cs="Arial"/>
                <w:sz w:val="20"/>
                <w:szCs w:val="22"/>
              </w:rPr>
              <w:t>f)</w:t>
            </w:r>
            <w:r w:rsidRPr="00D30BC1">
              <w:rPr>
                <w:rFonts w:ascii="Arial" w:hAnsi="Arial" w:cs="Arial"/>
                <w:sz w:val="20"/>
                <w:szCs w:val="22"/>
              </w:rPr>
              <w:t xml:space="preserve"> of gas to 1 </w:t>
            </w:r>
            <w:r w:rsidR="00C36A1F" w:rsidRPr="00D30BC1">
              <w:rPr>
                <w:rFonts w:ascii="Arial" w:hAnsi="Arial" w:cs="Arial"/>
                <w:sz w:val="20"/>
                <w:szCs w:val="22"/>
              </w:rPr>
              <w:t>BOE</w:t>
            </w:r>
            <w:r w:rsidRPr="00D30BC1">
              <w:rPr>
                <w:rFonts w:ascii="Arial" w:hAnsi="Arial" w:cs="Arial"/>
                <w:sz w:val="20"/>
                <w:szCs w:val="22"/>
              </w:rPr>
              <w:t xml:space="preserve"> = 6,000 </w:t>
            </w:r>
            <w:r w:rsidR="003C16A5" w:rsidRPr="00D30BC1">
              <w:rPr>
                <w:rFonts w:ascii="Arial" w:hAnsi="Arial" w:cs="Arial"/>
                <w:sz w:val="20"/>
                <w:szCs w:val="22"/>
              </w:rPr>
              <w:t>scf</w:t>
            </w:r>
            <w:r w:rsidRPr="00D30BC1">
              <w:rPr>
                <w:rFonts w:ascii="Arial" w:hAnsi="Arial" w:cs="Arial"/>
                <w:sz w:val="20"/>
                <w:szCs w:val="22"/>
              </w:rPr>
              <w:t xml:space="preserve">. (Many operators use 1 </w:t>
            </w:r>
            <w:r w:rsidR="00C36A1F" w:rsidRPr="00D30BC1">
              <w:rPr>
                <w:rFonts w:ascii="Arial" w:hAnsi="Arial" w:cs="Arial"/>
                <w:sz w:val="20"/>
                <w:szCs w:val="22"/>
              </w:rPr>
              <w:t>BOE</w:t>
            </w:r>
            <w:r w:rsidRPr="00D30BC1">
              <w:rPr>
                <w:rFonts w:ascii="Arial" w:hAnsi="Arial" w:cs="Arial"/>
                <w:sz w:val="20"/>
                <w:szCs w:val="22"/>
              </w:rPr>
              <w:t xml:space="preserve"> = 5,620 </w:t>
            </w:r>
            <w:r w:rsidR="003C16A5" w:rsidRPr="00D30BC1">
              <w:rPr>
                <w:rFonts w:ascii="Arial" w:hAnsi="Arial" w:cs="Arial"/>
                <w:sz w:val="20"/>
                <w:szCs w:val="22"/>
              </w:rPr>
              <w:t>scf</w:t>
            </w:r>
            <w:r w:rsidRPr="00D30BC1">
              <w:rPr>
                <w:rFonts w:ascii="Arial" w:hAnsi="Arial" w:cs="Arial"/>
                <w:sz w:val="20"/>
                <w:szCs w:val="22"/>
              </w:rPr>
              <w:t xml:space="preserve"> derived from the metric unit equivalent  1 m</w:t>
            </w:r>
            <w:r w:rsidRPr="00D30BC1">
              <w:rPr>
                <w:rFonts w:ascii="Arial" w:hAnsi="Arial" w:cs="Arial"/>
                <w:sz w:val="20"/>
              </w:rPr>
              <w:t xml:space="preserve">³ </w:t>
            </w:r>
            <w:r w:rsidRPr="00D30BC1">
              <w:rPr>
                <w:rFonts w:ascii="Arial" w:hAnsi="Arial" w:cs="Arial"/>
                <w:sz w:val="20"/>
                <w:szCs w:val="20"/>
              </w:rPr>
              <w:t>crude oil</w:t>
            </w:r>
            <w:r w:rsidRPr="00D30BC1">
              <w:rPr>
                <w:rFonts w:ascii="Arial" w:hAnsi="Arial" w:cs="Arial"/>
                <w:sz w:val="20"/>
              </w:rPr>
              <w:t xml:space="preserve"> </w:t>
            </w:r>
            <w:r w:rsidRPr="00D30BC1">
              <w:rPr>
                <w:rFonts w:ascii="Arial" w:hAnsi="Arial" w:cs="Arial"/>
                <w:sz w:val="20"/>
                <w:szCs w:val="22"/>
              </w:rPr>
              <w:t>=</w:t>
            </w:r>
            <w:r w:rsidRPr="00D30BC1">
              <w:rPr>
                <w:rFonts w:ascii="Century Schoolbook" w:hAnsi="Century Schoolbook" w:cs="Arial"/>
                <w:sz w:val="20"/>
                <w:szCs w:val="28"/>
              </w:rPr>
              <w:t xml:space="preserve"> </w:t>
            </w:r>
            <w:r w:rsidRPr="00D30BC1">
              <w:rPr>
                <w:rFonts w:ascii="Arial" w:hAnsi="Arial" w:cs="Arial"/>
                <w:sz w:val="20"/>
                <w:szCs w:val="20"/>
              </w:rPr>
              <w:t xml:space="preserve">1,000 </w:t>
            </w:r>
            <w:r w:rsidRPr="00D30BC1">
              <w:rPr>
                <w:rFonts w:ascii="Arial" w:hAnsi="Arial" w:cs="Arial"/>
                <w:sz w:val="20"/>
                <w:szCs w:val="22"/>
              </w:rPr>
              <w:t>m</w:t>
            </w:r>
            <w:r w:rsidRPr="00D30BC1">
              <w:rPr>
                <w:rFonts w:ascii="Arial" w:hAnsi="Arial" w:cs="Arial"/>
                <w:sz w:val="20"/>
              </w:rPr>
              <w:t xml:space="preserve">³ </w:t>
            </w:r>
            <w:r w:rsidRPr="00D30BC1">
              <w:rPr>
                <w:rFonts w:ascii="Arial" w:hAnsi="Arial" w:cs="Arial"/>
                <w:sz w:val="20"/>
                <w:szCs w:val="20"/>
              </w:rPr>
              <w:t xml:space="preserve">natural gas ). </w:t>
            </w:r>
            <w:r w:rsidRPr="00D30BC1">
              <w:rPr>
                <w:rFonts w:ascii="Arial" w:hAnsi="Arial" w:cs="Arial"/>
                <w:sz w:val="20"/>
                <w:szCs w:val="22"/>
              </w:rPr>
              <w:t>(</w:t>
            </w:r>
            <w:r w:rsidR="001E3C08" w:rsidRPr="00D30BC1">
              <w:rPr>
                <w:rFonts w:ascii="Arial" w:hAnsi="Arial" w:cs="Arial"/>
                <w:sz w:val="20"/>
                <w:szCs w:val="22"/>
              </w:rPr>
              <w:t>A</w:t>
            </w:r>
            <w:r w:rsidRPr="00D30BC1">
              <w:rPr>
                <w:rFonts w:ascii="Arial" w:hAnsi="Arial" w:cs="Arial"/>
                <w:sz w:val="20"/>
                <w:szCs w:val="22"/>
              </w:rPr>
              <w:t>lso termed Barrels of Oil Equivalent</w:t>
            </w:r>
            <w:r w:rsidR="001E3C08" w:rsidRPr="00D30BC1">
              <w:rPr>
                <w:rFonts w:ascii="Arial" w:hAnsi="Arial" w:cs="Arial"/>
                <w:sz w:val="20"/>
                <w:szCs w:val="22"/>
              </w:rPr>
              <w:t>.</w:t>
            </w:r>
            <w:r w:rsidRPr="00D30BC1">
              <w:rPr>
                <w:rFonts w:ascii="Arial" w:hAnsi="Arial" w:cs="Arial"/>
                <w:sz w:val="20"/>
                <w:szCs w:val="22"/>
              </w:rPr>
              <w:t>)</w:t>
            </w:r>
          </w:p>
        </w:tc>
      </w:tr>
      <w:tr w:rsidR="00BF46B4" w:rsidRPr="00D30BC1" w14:paraId="39C2872B" w14:textId="77777777" w:rsidTr="00D30BC1">
        <w:trPr>
          <w:trHeight w:val="547"/>
        </w:trPr>
        <w:tc>
          <w:tcPr>
            <w:tcW w:w="1445" w:type="dxa"/>
            <w:gridSpan w:val="2"/>
            <w:shd w:val="clear" w:color="auto" w:fill="auto"/>
            <w:tcMar>
              <w:top w:w="15" w:type="dxa"/>
              <w:left w:w="15" w:type="dxa"/>
              <w:bottom w:w="0" w:type="dxa"/>
              <w:right w:w="15" w:type="dxa"/>
            </w:tcMar>
          </w:tcPr>
          <w:p w14:paraId="55F99EDF"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Cumulative Production</w:t>
            </w:r>
          </w:p>
        </w:tc>
        <w:tc>
          <w:tcPr>
            <w:tcW w:w="1079" w:type="dxa"/>
            <w:gridSpan w:val="2"/>
            <w:shd w:val="clear" w:color="auto" w:fill="auto"/>
          </w:tcPr>
          <w:p w14:paraId="6450B8A3" w14:textId="77777777" w:rsidR="00BF46B4" w:rsidRPr="00D30BC1" w:rsidRDefault="00BF46B4" w:rsidP="00D30BC1">
            <w:pPr>
              <w:rPr>
                <w:rFonts w:ascii="Arial" w:hAnsi="Arial" w:cs="Arial"/>
                <w:sz w:val="18"/>
                <w:szCs w:val="22"/>
              </w:rPr>
            </w:pPr>
            <w:r w:rsidRPr="00D30BC1">
              <w:rPr>
                <w:rFonts w:ascii="Arial" w:hAnsi="Arial" w:cs="Arial"/>
                <w:sz w:val="18"/>
                <w:szCs w:val="22"/>
              </w:rPr>
              <w:t>2007 - 1.1</w:t>
            </w:r>
          </w:p>
          <w:p w14:paraId="07C82713" w14:textId="77777777" w:rsidR="00BF46B4" w:rsidRPr="00D30BC1" w:rsidRDefault="00BF46B4" w:rsidP="00D30BC1">
            <w:pPr>
              <w:rPr>
                <w:rFonts w:ascii="Arial" w:hAnsi="Arial" w:cs="Arial"/>
                <w:sz w:val="18"/>
                <w:szCs w:val="22"/>
              </w:rPr>
            </w:pPr>
          </w:p>
        </w:tc>
        <w:tc>
          <w:tcPr>
            <w:tcW w:w="7198" w:type="dxa"/>
            <w:shd w:val="clear" w:color="auto" w:fill="auto"/>
            <w:tcMar>
              <w:top w:w="15" w:type="dxa"/>
              <w:left w:w="15" w:type="dxa"/>
              <w:bottom w:w="0" w:type="dxa"/>
              <w:right w:w="15" w:type="dxa"/>
            </w:tcMar>
          </w:tcPr>
          <w:p w14:paraId="248FBFEC"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The sum of production of oil and gas to date (see also Production).</w:t>
            </w:r>
          </w:p>
        </w:tc>
      </w:tr>
      <w:tr w:rsidR="00BF46B4" w:rsidRPr="00D30BC1" w14:paraId="439180F5" w14:textId="77777777" w:rsidTr="00D30BC1">
        <w:trPr>
          <w:trHeight w:val="508"/>
        </w:trPr>
        <w:tc>
          <w:tcPr>
            <w:tcW w:w="1458" w:type="dxa"/>
            <w:gridSpan w:val="3"/>
            <w:shd w:val="clear" w:color="auto" w:fill="auto"/>
            <w:tcMar>
              <w:top w:w="15" w:type="dxa"/>
              <w:left w:w="15" w:type="dxa"/>
              <w:bottom w:w="0" w:type="dxa"/>
              <w:right w:w="15" w:type="dxa"/>
            </w:tcMar>
          </w:tcPr>
          <w:p w14:paraId="76C84C91"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Current Economic Conditions</w:t>
            </w:r>
          </w:p>
        </w:tc>
        <w:tc>
          <w:tcPr>
            <w:tcW w:w="1066" w:type="dxa"/>
            <w:shd w:val="clear" w:color="auto" w:fill="auto"/>
          </w:tcPr>
          <w:p w14:paraId="7D2E4F9B" w14:textId="77777777" w:rsidR="00BF46B4" w:rsidRPr="00D30BC1" w:rsidRDefault="00BF46B4" w:rsidP="00D30BC1">
            <w:pPr>
              <w:rPr>
                <w:rFonts w:ascii="Arial" w:hAnsi="Arial" w:cs="Arial"/>
                <w:sz w:val="18"/>
                <w:szCs w:val="22"/>
              </w:rPr>
            </w:pPr>
            <w:r w:rsidRPr="00D30BC1">
              <w:rPr>
                <w:rFonts w:ascii="Arial" w:hAnsi="Arial" w:cs="Arial"/>
                <w:sz w:val="18"/>
                <w:szCs w:val="22"/>
              </w:rPr>
              <w:t>2007 - 3.1.1</w:t>
            </w:r>
          </w:p>
        </w:tc>
        <w:tc>
          <w:tcPr>
            <w:tcW w:w="7198" w:type="dxa"/>
            <w:shd w:val="clear" w:color="auto" w:fill="auto"/>
            <w:tcMar>
              <w:top w:w="15" w:type="dxa"/>
              <w:left w:w="15" w:type="dxa"/>
              <w:bottom w:w="0" w:type="dxa"/>
              <w:right w:w="15" w:type="dxa"/>
            </w:tcMar>
          </w:tcPr>
          <w:p w14:paraId="74B0F41A"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Establishment of current economic conditions should include relevant historical petroleum prices and associated costs and may involve a defined averaging period. The SPE guidelines recommend that </w:t>
            </w:r>
            <w:r w:rsidR="001E3C08" w:rsidRPr="00D30BC1">
              <w:rPr>
                <w:rFonts w:ascii="Arial" w:hAnsi="Arial" w:cs="Arial"/>
                <w:sz w:val="20"/>
                <w:szCs w:val="22"/>
              </w:rPr>
              <w:t>a 1</w:t>
            </w:r>
            <w:r w:rsidRPr="00D30BC1">
              <w:rPr>
                <w:rFonts w:ascii="Arial" w:hAnsi="Arial" w:cs="Arial"/>
                <w:sz w:val="20"/>
                <w:szCs w:val="22"/>
              </w:rPr>
              <w:t xml:space="preserve">-year historical average of costs and prices should be used as the default basis of </w:t>
            </w:r>
            <w:r w:rsidR="00C30824" w:rsidRPr="00D30BC1">
              <w:rPr>
                <w:rFonts w:cs="Arial"/>
                <w:sz w:val="18"/>
                <w:szCs w:val="22"/>
              </w:rPr>
              <w:t>“</w:t>
            </w:r>
            <w:r w:rsidRPr="00D30BC1">
              <w:rPr>
                <w:rFonts w:ascii="Arial" w:hAnsi="Arial" w:cs="Arial"/>
                <w:sz w:val="20"/>
                <w:szCs w:val="22"/>
              </w:rPr>
              <w:t>constant case</w:t>
            </w:r>
            <w:r w:rsidR="00C30824" w:rsidRPr="00D30BC1">
              <w:rPr>
                <w:rFonts w:cs="Arial"/>
                <w:sz w:val="18"/>
                <w:szCs w:val="22"/>
              </w:rPr>
              <w:t>”</w:t>
            </w:r>
            <w:r w:rsidRPr="00D30BC1">
              <w:rPr>
                <w:rFonts w:ascii="Arial" w:hAnsi="Arial" w:cs="Arial"/>
                <w:sz w:val="20"/>
                <w:szCs w:val="22"/>
              </w:rPr>
              <w:t xml:space="preserve"> resources estimates and associated project cash flows.</w:t>
            </w:r>
          </w:p>
        </w:tc>
      </w:tr>
      <w:tr w:rsidR="00BF46B4" w:rsidRPr="00D30BC1" w14:paraId="72B2329E" w14:textId="77777777" w:rsidTr="00D30BC1">
        <w:trPr>
          <w:trHeight w:val="508"/>
        </w:trPr>
        <w:tc>
          <w:tcPr>
            <w:tcW w:w="1458" w:type="dxa"/>
            <w:gridSpan w:val="3"/>
            <w:shd w:val="clear" w:color="auto" w:fill="auto"/>
            <w:tcMar>
              <w:top w:w="15" w:type="dxa"/>
              <w:left w:w="15" w:type="dxa"/>
              <w:bottom w:w="0" w:type="dxa"/>
              <w:right w:w="15" w:type="dxa"/>
            </w:tcMar>
          </w:tcPr>
          <w:p w14:paraId="400D060E" w14:textId="77777777" w:rsidR="00BF46B4" w:rsidRPr="00D30BC1" w:rsidRDefault="00BF46B4" w:rsidP="00D30BC1">
            <w:pPr>
              <w:rPr>
                <w:rFonts w:ascii="Arial" w:hAnsi="Arial" w:cs="Arial"/>
                <w:sz w:val="20"/>
                <w:szCs w:val="22"/>
              </w:rPr>
            </w:pPr>
            <w:r w:rsidRPr="00D30BC1">
              <w:rPr>
                <w:rFonts w:ascii="Arial" w:hAnsi="Arial" w:cs="Arial"/>
                <w:sz w:val="20"/>
                <w:szCs w:val="22"/>
              </w:rPr>
              <w:t>Cushion Gas Volume</w:t>
            </w:r>
          </w:p>
        </w:tc>
        <w:tc>
          <w:tcPr>
            <w:tcW w:w="1066" w:type="dxa"/>
            <w:shd w:val="clear" w:color="auto" w:fill="auto"/>
          </w:tcPr>
          <w:p w14:paraId="4EAE12C3" w14:textId="77777777" w:rsidR="00BF46B4" w:rsidRPr="00D30BC1" w:rsidRDefault="00BF46B4" w:rsidP="00D30BC1">
            <w:pPr>
              <w:rPr>
                <w:rFonts w:ascii="Arial" w:hAnsi="Arial" w:cs="Arial"/>
                <w:sz w:val="18"/>
                <w:szCs w:val="22"/>
              </w:rPr>
            </w:pPr>
          </w:p>
        </w:tc>
        <w:tc>
          <w:tcPr>
            <w:tcW w:w="7198" w:type="dxa"/>
            <w:shd w:val="clear" w:color="auto" w:fill="auto"/>
            <w:tcMar>
              <w:top w:w="15" w:type="dxa"/>
              <w:left w:w="15" w:type="dxa"/>
              <w:bottom w:w="0" w:type="dxa"/>
              <w:right w:w="15" w:type="dxa"/>
            </w:tcMar>
          </w:tcPr>
          <w:p w14:paraId="0712AE37"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With respect to underground  natural gas storage, Cushion Gas Volume (CGV) is the gas volume required in a storage field for reservoir management purposes and to maintain adequate minimum storage pressure for meeting working gas volume delivery with the required withdrawal profile. In caverns, the cushion gas volume is also required for stability reasons.  The cushion gas volume may consist of recoverable and non-recoverable in-situ gas volumes and injected gas volumes.</w:t>
            </w:r>
          </w:p>
        </w:tc>
      </w:tr>
      <w:tr w:rsidR="00BF46B4" w:rsidRPr="00D30BC1" w14:paraId="5CAA5C16" w14:textId="77777777" w:rsidTr="00D30BC1">
        <w:trPr>
          <w:trHeight w:val="691"/>
        </w:trPr>
        <w:tc>
          <w:tcPr>
            <w:tcW w:w="1458" w:type="dxa"/>
            <w:gridSpan w:val="3"/>
            <w:shd w:val="clear" w:color="auto" w:fill="auto"/>
            <w:tcMar>
              <w:top w:w="15" w:type="dxa"/>
              <w:left w:w="15" w:type="dxa"/>
              <w:bottom w:w="0" w:type="dxa"/>
              <w:right w:w="15" w:type="dxa"/>
            </w:tcMar>
          </w:tcPr>
          <w:p w14:paraId="394CD1E8" w14:textId="77777777" w:rsidR="00BF46B4" w:rsidRPr="00D30BC1" w:rsidRDefault="00BF46B4" w:rsidP="00D30BC1">
            <w:pPr>
              <w:pStyle w:val="CommentText"/>
              <w:rPr>
                <w:rFonts w:ascii="Arial" w:hAnsi="Arial" w:cs="Arial"/>
                <w:szCs w:val="22"/>
              </w:rPr>
            </w:pPr>
            <w:r w:rsidRPr="00D30BC1">
              <w:rPr>
                <w:rFonts w:ascii="Arial" w:hAnsi="Arial" w:cs="Arial"/>
                <w:szCs w:val="22"/>
              </w:rPr>
              <w:t>Deposit</w:t>
            </w:r>
          </w:p>
        </w:tc>
        <w:tc>
          <w:tcPr>
            <w:tcW w:w="1066" w:type="dxa"/>
            <w:shd w:val="clear" w:color="auto" w:fill="auto"/>
          </w:tcPr>
          <w:p w14:paraId="531D8A85" w14:textId="77777777" w:rsidR="00BF46B4" w:rsidRPr="00D30BC1" w:rsidRDefault="00BF46B4" w:rsidP="00D30BC1">
            <w:pPr>
              <w:rPr>
                <w:rFonts w:ascii="Arial" w:hAnsi="Arial" w:cs="Arial"/>
                <w:sz w:val="18"/>
                <w:szCs w:val="22"/>
              </w:rPr>
            </w:pPr>
            <w:r w:rsidRPr="00D30BC1">
              <w:rPr>
                <w:rFonts w:ascii="Arial" w:hAnsi="Arial" w:cs="Arial"/>
                <w:sz w:val="18"/>
                <w:szCs w:val="22"/>
              </w:rPr>
              <w:t>2007</w:t>
            </w:r>
            <w:r w:rsidR="00EF6731" w:rsidRPr="00D30BC1">
              <w:rPr>
                <w:rFonts w:ascii="Arial" w:hAnsi="Arial" w:cs="Arial"/>
                <w:sz w:val="18"/>
                <w:szCs w:val="22"/>
              </w:rPr>
              <w:t xml:space="preserve"> -</w:t>
            </w:r>
            <w:r w:rsidRPr="00D30BC1">
              <w:rPr>
                <w:rFonts w:ascii="Arial" w:hAnsi="Arial" w:cs="Arial"/>
                <w:sz w:val="18"/>
                <w:szCs w:val="22"/>
              </w:rPr>
              <w:t xml:space="preserve"> 2.4</w:t>
            </w:r>
          </w:p>
        </w:tc>
        <w:tc>
          <w:tcPr>
            <w:tcW w:w="7198" w:type="dxa"/>
            <w:shd w:val="clear" w:color="auto" w:fill="auto"/>
            <w:tcMar>
              <w:top w:w="15" w:type="dxa"/>
              <w:left w:w="15" w:type="dxa"/>
              <w:bottom w:w="0" w:type="dxa"/>
              <w:right w:w="15" w:type="dxa"/>
            </w:tcMar>
          </w:tcPr>
          <w:p w14:paraId="2F57F6F8"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Material laid down by a natural process. In resource evaluations</w:t>
            </w:r>
            <w:r w:rsidR="00EF6731" w:rsidRPr="00D30BC1">
              <w:rPr>
                <w:rFonts w:ascii="Arial" w:hAnsi="Arial" w:cs="Arial"/>
                <w:sz w:val="20"/>
                <w:szCs w:val="22"/>
              </w:rPr>
              <w:t>,</w:t>
            </w:r>
            <w:r w:rsidRPr="00D30BC1">
              <w:rPr>
                <w:rFonts w:ascii="Arial" w:hAnsi="Arial" w:cs="Arial"/>
                <w:sz w:val="20"/>
                <w:szCs w:val="22"/>
              </w:rPr>
              <w:t xml:space="preserve"> it identifies an accumulation of hydrocarbons in </w:t>
            </w:r>
            <w:r w:rsidR="00EF6731" w:rsidRPr="00D30BC1">
              <w:rPr>
                <w:rFonts w:ascii="Arial" w:hAnsi="Arial" w:cs="Arial"/>
                <w:sz w:val="20"/>
                <w:szCs w:val="22"/>
              </w:rPr>
              <w:t>a reservoir (see Accumulation).</w:t>
            </w:r>
          </w:p>
        </w:tc>
      </w:tr>
      <w:tr w:rsidR="00BF46B4" w:rsidRPr="00D30BC1" w14:paraId="6D33CD09" w14:textId="77777777" w:rsidTr="00D30BC1">
        <w:trPr>
          <w:trHeight w:val="691"/>
        </w:trPr>
        <w:tc>
          <w:tcPr>
            <w:tcW w:w="1458" w:type="dxa"/>
            <w:gridSpan w:val="3"/>
            <w:shd w:val="clear" w:color="auto" w:fill="auto"/>
            <w:tcMar>
              <w:top w:w="15" w:type="dxa"/>
              <w:left w:w="15" w:type="dxa"/>
              <w:bottom w:w="0" w:type="dxa"/>
              <w:right w:w="15" w:type="dxa"/>
            </w:tcMar>
          </w:tcPr>
          <w:p w14:paraId="0E9BA996" w14:textId="77777777" w:rsidR="00BF46B4" w:rsidRPr="00D30BC1" w:rsidRDefault="00BF46B4" w:rsidP="00D30BC1">
            <w:pPr>
              <w:pStyle w:val="CommentText"/>
              <w:rPr>
                <w:rFonts w:ascii="Arial" w:eastAsia="Arial Unicode MS" w:hAnsi="Arial" w:cs="Arial"/>
                <w:szCs w:val="22"/>
              </w:rPr>
            </w:pPr>
            <w:r w:rsidRPr="00D30BC1">
              <w:rPr>
                <w:rFonts w:ascii="Arial" w:hAnsi="Arial" w:cs="Arial"/>
                <w:szCs w:val="22"/>
              </w:rPr>
              <w:t>Deterministic Estimate</w:t>
            </w:r>
          </w:p>
        </w:tc>
        <w:tc>
          <w:tcPr>
            <w:tcW w:w="1066" w:type="dxa"/>
            <w:shd w:val="clear" w:color="auto" w:fill="auto"/>
          </w:tcPr>
          <w:p w14:paraId="04C5A10F" w14:textId="77777777" w:rsidR="00BF46B4" w:rsidRPr="00D30BC1" w:rsidRDefault="00BF46B4" w:rsidP="00D30BC1">
            <w:pPr>
              <w:rPr>
                <w:rFonts w:ascii="Arial" w:hAnsi="Arial" w:cs="Arial"/>
                <w:sz w:val="18"/>
                <w:szCs w:val="22"/>
              </w:rPr>
            </w:pPr>
            <w:r w:rsidRPr="00D30BC1">
              <w:rPr>
                <w:rFonts w:ascii="Arial" w:hAnsi="Arial" w:cs="Arial"/>
                <w:sz w:val="18"/>
                <w:szCs w:val="22"/>
              </w:rPr>
              <w:t>2007 - 3.5</w:t>
            </w:r>
          </w:p>
        </w:tc>
        <w:tc>
          <w:tcPr>
            <w:tcW w:w="7198" w:type="dxa"/>
            <w:shd w:val="clear" w:color="auto" w:fill="auto"/>
            <w:tcMar>
              <w:top w:w="15" w:type="dxa"/>
              <w:left w:w="15" w:type="dxa"/>
              <w:bottom w:w="0" w:type="dxa"/>
              <w:right w:w="15" w:type="dxa"/>
            </w:tcMar>
          </w:tcPr>
          <w:p w14:paraId="2CC06D74"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The method of estimation of Reserves or Resources is called deterministic if a discrete estimate(s) is made based on known geoscience, engineering, and economic data. </w:t>
            </w:r>
          </w:p>
        </w:tc>
      </w:tr>
      <w:tr w:rsidR="00BF46B4" w:rsidRPr="00D30BC1" w14:paraId="089FDF74" w14:textId="77777777" w:rsidTr="00D30BC1">
        <w:trPr>
          <w:trHeight w:val="1346"/>
        </w:trPr>
        <w:tc>
          <w:tcPr>
            <w:tcW w:w="1458" w:type="dxa"/>
            <w:gridSpan w:val="3"/>
            <w:shd w:val="clear" w:color="auto" w:fill="auto"/>
            <w:tcMar>
              <w:top w:w="15" w:type="dxa"/>
              <w:left w:w="15" w:type="dxa"/>
              <w:bottom w:w="0" w:type="dxa"/>
              <w:right w:w="15" w:type="dxa"/>
            </w:tcMar>
          </w:tcPr>
          <w:p w14:paraId="774DC090"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Developed Reserves</w:t>
            </w:r>
          </w:p>
        </w:tc>
        <w:tc>
          <w:tcPr>
            <w:tcW w:w="1066" w:type="dxa"/>
            <w:shd w:val="clear" w:color="auto" w:fill="auto"/>
          </w:tcPr>
          <w:p w14:paraId="7CE13C89"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2007 - 2.1.3.2 and Table </w:t>
            </w:r>
            <w:r w:rsidR="00EF6731" w:rsidRPr="00D30BC1">
              <w:rPr>
                <w:rFonts w:ascii="Arial" w:hAnsi="Arial" w:cs="Arial"/>
                <w:sz w:val="18"/>
                <w:szCs w:val="22"/>
              </w:rPr>
              <w:t>2</w:t>
            </w:r>
          </w:p>
        </w:tc>
        <w:tc>
          <w:tcPr>
            <w:tcW w:w="7198" w:type="dxa"/>
            <w:shd w:val="clear" w:color="auto" w:fill="auto"/>
            <w:tcMar>
              <w:top w:w="15" w:type="dxa"/>
              <w:left w:w="15" w:type="dxa"/>
              <w:bottom w:w="0" w:type="dxa"/>
              <w:right w:w="15" w:type="dxa"/>
            </w:tcMar>
          </w:tcPr>
          <w:p w14:paraId="67DC4715"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0"/>
              </w:rPr>
              <w:t xml:space="preserve">Developed Reserves are expected to be recovered from existing wells including reserves behind pipe. Improved recovery reserves are considered </w:t>
            </w:r>
            <w:r w:rsidR="00C30824" w:rsidRPr="00D30BC1">
              <w:rPr>
                <w:rFonts w:cs="Arial"/>
                <w:sz w:val="20"/>
                <w:szCs w:val="20"/>
              </w:rPr>
              <w:t>“</w:t>
            </w:r>
            <w:r w:rsidRPr="00D30BC1">
              <w:rPr>
                <w:rFonts w:ascii="Arial" w:hAnsi="Arial" w:cs="Arial"/>
                <w:sz w:val="20"/>
                <w:szCs w:val="20"/>
              </w:rPr>
              <w:t>developed</w:t>
            </w:r>
            <w:r w:rsidR="00C30824" w:rsidRPr="00D30BC1">
              <w:rPr>
                <w:rFonts w:cs="Arial"/>
                <w:sz w:val="20"/>
                <w:szCs w:val="20"/>
              </w:rPr>
              <w:t>”</w:t>
            </w:r>
            <w:r w:rsidRPr="00D30BC1">
              <w:rPr>
                <w:rFonts w:ascii="Arial" w:hAnsi="Arial" w:cs="Arial"/>
                <w:sz w:val="20"/>
                <w:szCs w:val="20"/>
              </w:rPr>
              <w:t xml:space="preserve"> only after the necessary equipment has been installed, or when the costs to do so are relatively minor compared to the cost of a well. Developed Reserves may be further sub-classified as Producing or Non-Producing.</w:t>
            </w:r>
          </w:p>
        </w:tc>
      </w:tr>
      <w:tr w:rsidR="00BF46B4" w:rsidRPr="00D30BC1" w14:paraId="002D51DC" w14:textId="77777777" w:rsidTr="00D30BC1">
        <w:trPr>
          <w:trHeight w:val="743"/>
        </w:trPr>
        <w:tc>
          <w:tcPr>
            <w:tcW w:w="1458" w:type="dxa"/>
            <w:gridSpan w:val="3"/>
            <w:shd w:val="clear" w:color="auto" w:fill="auto"/>
            <w:tcMar>
              <w:top w:w="15" w:type="dxa"/>
              <w:left w:w="15" w:type="dxa"/>
              <w:bottom w:w="0" w:type="dxa"/>
              <w:right w:w="15" w:type="dxa"/>
            </w:tcMar>
          </w:tcPr>
          <w:p w14:paraId="784C0B0D" w14:textId="77777777" w:rsidR="00BF46B4" w:rsidRPr="00D30BC1" w:rsidRDefault="00BF46B4" w:rsidP="00D30BC1">
            <w:pPr>
              <w:rPr>
                <w:rFonts w:ascii="Arial" w:hAnsi="Arial" w:cs="Arial"/>
                <w:sz w:val="20"/>
                <w:szCs w:val="22"/>
              </w:rPr>
            </w:pPr>
            <w:r w:rsidRPr="00D30BC1">
              <w:rPr>
                <w:rFonts w:ascii="Arial" w:hAnsi="Arial" w:cs="Arial"/>
                <w:sz w:val="20"/>
                <w:szCs w:val="22"/>
              </w:rPr>
              <w:t>Developed Producing Reserves</w:t>
            </w:r>
          </w:p>
        </w:tc>
        <w:tc>
          <w:tcPr>
            <w:tcW w:w="1066" w:type="dxa"/>
            <w:shd w:val="clear" w:color="auto" w:fill="auto"/>
          </w:tcPr>
          <w:p w14:paraId="1850EE7B" w14:textId="77777777" w:rsidR="00BF46B4" w:rsidRPr="00D30BC1" w:rsidRDefault="00BF46B4" w:rsidP="00D30BC1">
            <w:pPr>
              <w:rPr>
                <w:rFonts w:ascii="Arial" w:hAnsi="Arial" w:cs="Arial"/>
                <w:sz w:val="18"/>
                <w:szCs w:val="22"/>
              </w:rPr>
            </w:pPr>
            <w:r w:rsidRPr="00D30BC1">
              <w:rPr>
                <w:rFonts w:ascii="Arial" w:hAnsi="Arial" w:cs="Arial"/>
                <w:sz w:val="18"/>
                <w:szCs w:val="22"/>
              </w:rPr>
              <w:t>2007 - 2.1.3.2 and Table 2</w:t>
            </w:r>
          </w:p>
        </w:tc>
        <w:tc>
          <w:tcPr>
            <w:tcW w:w="7198" w:type="dxa"/>
            <w:shd w:val="clear" w:color="auto" w:fill="auto"/>
            <w:tcMar>
              <w:top w:w="15" w:type="dxa"/>
              <w:left w:w="15" w:type="dxa"/>
              <w:bottom w:w="0" w:type="dxa"/>
              <w:right w:w="15" w:type="dxa"/>
            </w:tcMar>
          </w:tcPr>
          <w:p w14:paraId="73D9A8CA" w14:textId="77777777" w:rsidR="00BF46B4" w:rsidRPr="00D30BC1" w:rsidRDefault="00BF46B4" w:rsidP="00D30BC1">
            <w:pPr>
              <w:pStyle w:val="CommentText"/>
              <w:spacing w:after="120"/>
              <w:rPr>
                <w:rFonts w:ascii="Arial" w:hAnsi="Arial" w:cs="Arial"/>
                <w:szCs w:val="18"/>
              </w:rPr>
            </w:pPr>
            <w:r w:rsidRPr="00D30BC1">
              <w:rPr>
                <w:rStyle w:val="Strong"/>
                <w:rFonts w:ascii="Arial" w:hAnsi="Arial" w:cs="Arial"/>
                <w:b w:val="0"/>
                <w:bCs w:val="0"/>
              </w:rPr>
              <w:t>Developed Producing Reserves</w:t>
            </w:r>
            <w:r w:rsidRPr="00D30BC1">
              <w:rPr>
                <w:rFonts w:ascii="Arial" w:hAnsi="Arial" w:cs="Arial"/>
              </w:rPr>
              <w:t xml:space="preserve"> are expected to be recovered from completion intervals that are open and producing at the time of the estimate. Improved recovery reserves are considered producing only after the improved recovery project is in operation. </w:t>
            </w:r>
          </w:p>
        </w:tc>
      </w:tr>
      <w:tr w:rsidR="00BF46B4" w:rsidRPr="00D30BC1" w14:paraId="093FDB5D" w14:textId="77777777" w:rsidTr="00D30BC1">
        <w:trPr>
          <w:trHeight w:val="743"/>
        </w:trPr>
        <w:tc>
          <w:tcPr>
            <w:tcW w:w="1458" w:type="dxa"/>
            <w:gridSpan w:val="3"/>
            <w:shd w:val="clear" w:color="auto" w:fill="auto"/>
            <w:tcMar>
              <w:top w:w="15" w:type="dxa"/>
              <w:left w:w="15" w:type="dxa"/>
              <w:bottom w:w="0" w:type="dxa"/>
              <w:right w:w="15" w:type="dxa"/>
            </w:tcMar>
          </w:tcPr>
          <w:p w14:paraId="65AA1DCA" w14:textId="77777777" w:rsidR="00BF46B4" w:rsidRPr="00D30BC1" w:rsidRDefault="00BF46B4" w:rsidP="00D30BC1">
            <w:pPr>
              <w:rPr>
                <w:rFonts w:ascii="Arial" w:hAnsi="Arial" w:cs="Arial"/>
                <w:sz w:val="20"/>
                <w:szCs w:val="22"/>
              </w:rPr>
            </w:pPr>
            <w:r w:rsidRPr="00D30BC1">
              <w:rPr>
                <w:rFonts w:ascii="Arial" w:hAnsi="Arial" w:cs="Arial"/>
                <w:sz w:val="20"/>
                <w:szCs w:val="22"/>
              </w:rPr>
              <w:t>Developed Non-</w:t>
            </w:r>
            <w:r w:rsidR="009430A6" w:rsidRPr="00D30BC1">
              <w:rPr>
                <w:rFonts w:ascii="Arial" w:hAnsi="Arial" w:cs="Arial"/>
                <w:sz w:val="20"/>
                <w:szCs w:val="22"/>
              </w:rPr>
              <w:t>P</w:t>
            </w:r>
            <w:r w:rsidRPr="00D30BC1">
              <w:rPr>
                <w:rFonts w:ascii="Arial" w:hAnsi="Arial" w:cs="Arial"/>
                <w:sz w:val="20"/>
                <w:szCs w:val="22"/>
              </w:rPr>
              <w:t>roducing Reserves</w:t>
            </w:r>
          </w:p>
        </w:tc>
        <w:tc>
          <w:tcPr>
            <w:tcW w:w="1066" w:type="dxa"/>
            <w:shd w:val="clear" w:color="auto" w:fill="auto"/>
          </w:tcPr>
          <w:p w14:paraId="4A45C96B"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2007 - 2.1.3.2 and Table </w:t>
            </w:r>
            <w:r w:rsidR="009430A6" w:rsidRPr="00D30BC1">
              <w:rPr>
                <w:rFonts w:ascii="Arial" w:hAnsi="Arial" w:cs="Arial"/>
                <w:sz w:val="18"/>
                <w:szCs w:val="22"/>
              </w:rPr>
              <w:t>2</w:t>
            </w:r>
          </w:p>
        </w:tc>
        <w:tc>
          <w:tcPr>
            <w:tcW w:w="7198" w:type="dxa"/>
            <w:shd w:val="clear" w:color="auto" w:fill="auto"/>
            <w:tcMar>
              <w:top w:w="15" w:type="dxa"/>
              <w:left w:w="15" w:type="dxa"/>
              <w:bottom w:w="0" w:type="dxa"/>
              <w:right w:w="15" w:type="dxa"/>
            </w:tcMar>
          </w:tcPr>
          <w:p w14:paraId="724CD979" w14:textId="77777777" w:rsidR="00BF46B4" w:rsidRPr="00D30BC1" w:rsidRDefault="00BF46B4" w:rsidP="00D30BC1">
            <w:pPr>
              <w:pStyle w:val="CommentText"/>
              <w:spacing w:after="120"/>
              <w:rPr>
                <w:rFonts w:ascii="Arial" w:hAnsi="Arial" w:cs="Arial"/>
                <w:szCs w:val="18"/>
              </w:rPr>
            </w:pPr>
            <w:r w:rsidRPr="00D30BC1">
              <w:rPr>
                <w:rFonts w:ascii="Arial" w:hAnsi="Arial" w:cs="Arial"/>
              </w:rPr>
              <w:t>Developed Non-</w:t>
            </w:r>
            <w:r w:rsidR="009430A6" w:rsidRPr="00D30BC1">
              <w:rPr>
                <w:rFonts w:ascii="Arial" w:hAnsi="Arial" w:cs="Arial"/>
              </w:rPr>
              <w:t>P</w:t>
            </w:r>
            <w:r w:rsidRPr="00D30BC1">
              <w:rPr>
                <w:rFonts w:ascii="Arial" w:hAnsi="Arial" w:cs="Arial"/>
              </w:rPr>
              <w:t>roducing Reserves include shut-in and behind-pipe Reserves. Shut-in Reserves are expected to be recovered from (1) completion intervals which are open at the time of the estimate but which have not yet started producing, (2) wells which were shut</w:t>
            </w:r>
            <w:r w:rsidR="004528AF" w:rsidRPr="00D30BC1">
              <w:rPr>
                <w:rFonts w:ascii="Arial" w:hAnsi="Arial" w:cs="Arial"/>
              </w:rPr>
              <w:t xml:space="preserve"> </w:t>
            </w:r>
            <w:r w:rsidRPr="00D30BC1">
              <w:rPr>
                <w:rFonts w:ascii="Arial" w:hAnsi="Arial" w:cs="Arial"/>
              </w:rPr>
              <w:t>in for market conditions or pipeline connections,</w:t>
            </w:r>
            <w:r w:rsidR="004528AF" w:rsidRPr="00D30BC1">
              <w:rPr>
                <w:rFonts w:ascii="Arial" w:hAnsi="Arial" w:cs="Arial"/>
              </w:rPr>
              <w:t xml:space="preserve"> or</w:t>
            </w:r>
            <w:r w:rsidRPr="00D30BC1">
              <w:rPr>
                <w:rFonts w:ascii="Arial" w:hAnsi="Arial" w:cs="Arial"/>
              </w:rPr>
              <w:t xml:space="preserve"> (3) wells not capable of production for mechanical reasons. Behind-pipe Reserves are also those expected to be recovered from zones in existing wells which will require additional completion work or future re-completion prior to start of production. In all cases, production can be initiated or restored with relatively low expenditure compared to the cost of drilling a new well.</w:t>
            </w:r>
          </w:p>
        </w:tc>
      </w:tr>
      <w:tr w:rsidR="00BF46B4" w:rsidRPr="00D30BC1" w14:paraId="208C3804" w14:textId="77777777" w:rsidTr="00D30BC1">
        <w:trPr>
          <w:trHeight w:val="743"/>
        </w:trPr>
        <w:tc>
          <w:tcPr>
            <w:tcW w:w="1458" w:type="dxa"/>
            <w:gridSpan w:val="3"/>
            <w:shd w:val="clear" w:color="auto" w:fill="auto"/>
            <w:tcMar>
              <w:top w:w="15" w:type="dxa"/>
              <w:left w:w="15" w:type="dxa"/>
              <w:bottom w:w="0" w:type="dxa"/>
              <w:right w:w="15" w:type="dxa"/>
            </w:tcMar>
          </w:tcPr>
          <w:p w14:paraId="71CF418B"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 xml:space="preserve">Development </w:t>
            </w:r>
            <w:r w:rsidR="00CB0CB2" w:rsidRPr="00D30BC1">
              <w:rPr>
                <w:rFonts w:ascii="Arial" w:hAnsi="Arial" w:cs="Arial"/>
                <w:sz w:val="20"/>
                <w:szCs w:val="22"/>
              </w:rPr>
              <w:t>N</w:t>
            </w:r>
            <w:r w:rsidRPr="00D30BC1">
              <w:rPr>
                <w:rFonts w:ascii="Arial" w:hAnsi="Arial" w:cs="Arial"/>
                <w:sz w:val="20"/>
                <w:szCs w:val="22"/>
              </w:rPr>
              <w:t>ot Viable</w:t>
            </w:r>
          </w:p>
        </w:tc>
        <w:tc>
          <w:tcPr>
            <w:tcW w:w="1066" w:type="dxa"/>
            <w:shd w:val="clear" w:color="auto" w:fill="auto"/>
          </w:tcPr>
          <w:p w14:paraId="37126BA1"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2007 - 2.1.3.1 and Table </w:t>
            </w:r>
            <w:r w:rsidR="00CB0CB2" w:rsidRPr="00D30BC1">
              <w:rPr>
                <w:rFonts w:ascii="Arial" w:hAnsi="Arial" w:cs="Arial"/>
                <w:sz w:val="18"/>
                <w:szCs w:val="22"/>
              </w:rPr>
              <w:t>1</w:t>
            </w:r>
          </w:p>
        </w:tc>
        <w:tc>
          <w:tcPr>
            <w:tcW w:w="7198" w:type="dxa"/>
            <w:shd w:val="clear" w:color="auto" w:fill="auto"/>
            <w:tcMar>
              <w:top w:w="15" w:type="dxa"/>
              <w:left w:w="15" w:type="dxa"/>
              <w:bottom w:w="0" w:type="dxa"/>
              <w:right w:w="15" w:type="dxa"/>
            </w:tcMar>
          </w:tcPr>
          <w:p w14:paraId="58B7DC53" w14:textId="77777777" w:rsidR="00BF46B4" w:rsidRPr="00D30BC1" w:rsidRDefault="00BF46B4" w:rsidP="00D30BC1">
            <w:pPr>
              <w:pStyle w:val="CommentText"/>
              <w:spacing w:after="120"/>
              <w:rPr>
                <w:rFonts w:ascii="Arial" w:eastAsia="Arial Unicode MS" w:hAnsi="Arial" w:cs="Arial"/>
                <w:szCs w:val="18"/>
              </w:rPr>
            </w:pPr>
            <w:r w:rsidRPr="00D30BC1">
              <w:rPr>
                <w:rFonts w:ascii="Arial" w:hAnsi="Arial" w:cs="Arial"/>
                <w:szCs w:val="18"/>
              </w:rPr>
              <w:t xml:space="preserve">A discovered accumulation for which there are no current plans to develop or to acquire additional data at the time due to limited production potential. </w:t>
            </w:r>
            <w:r w:rsidRPr="00D30BC1">
              <w:rPr>
                <w:rFonts w:ascii="Arial" w:hAnsi="Arial" w:cs="Arial"/>
                <w:szCs w:val="22"/>
              </w:rPr>
              <w:t>A project maturity sub-class that reflects the actions required to move a project towards commercial production.</w:t>
            </w:r>
          </w:p>
        </w:tc>
      </w:tr>
      <w:tr w:rsidR="00BF46B4" w:rsidRPr="00D30BC1" w14:paraId="5E3C4C07" w14:textId="77777777" w:rsidTr="00D30BC1">
        <w:trPr>
          <w:trHeight w:val="897"/>
        </w:trPr>
        <w:tc>
          <w:tcPr>
            <w:tcW w:w="1458" w:type="dxa"/>
            <w:gridSpan w:val="3"/>
            <w:shd w:val="clear" w:color="auto" w:fill="auto"/>
            <w:tcMar>
              <w:top w:w="15" w:type="dxa"/>
              <w:left w:w="15" w:type="dxa"/>
              <w:bottom w:w="0" w:type="dxa"/>
              <w:right w:w="15" w:type="dxa"/>
            </w:tcMar>
          </w:tcPr>
          <w:p w14:paraId="3E4DBF74"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Development Pending</w:t>
            </w:r>
          </w:p>
        </w:tc>
        <w:tc>
          <w:tcPr>
            <w:tcW w:w="1066" w:type="dxa"/>
            <w:shd w:val="clear" w:color="auto" w:fill="auto"/>
          </w:tcPr>
          <w:p w14:paraId="47B6A25A"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2007 - 2.1.3.1 and Table </w:t>
            </w:r>
            <w:r w:rsidR="00CB0CB2" w:rsidRPr="00D30BC1">
              <w:rPr>
                <w:rFonts w:ascii="Arial" w:hAnsi="Arial" w:cs="Arial"/>
                <w:sz w:val="18"/>
                <w:szCs w:val="22"/>
              </w:rPr>
              <w:t>1</w:t>
            </w:r>
          </w:p>
        </w:tc>
        <w:tc>
          <w:tcPr>
            <w:tcW w:w="7198" w:type="dxa"/>
            <w:shd w:val="clear" w:color="auto" w:fill="auto"/>
            <w:tcMar>
              <w:top w:w="15" w:type="dxa"/>
              <w:left w:w="15" w:type="dxa"/>
              <w:bottom w:w="0" w:type="dxa"/>
              <w:right w:w="15" w:type="dxa"/>
            </w:tcMar>
          </w:tcPr>
          <w:p w14:paraId="447F2F09"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18"/>
              </w:rPr>
              <w:t>A discovered accumulation where project activities are ongoing to justify commercial development in the foreseeable future.</w:t>
            </w:r>
            <w:r w:rsidRPr="00D30BC1">
              <w:rPr>
                <w:rFonts w:ascii="Arial" w:hAnsi="Arial" w:cs="Arial"/>
                <w:sz w:val="20"/>
                <w:szCs w:val="22"/>
              </w:rPr>
              <w:t xml:space="preserve"> A project maturity sub-class that reflects the actions required to move a project towards commercial production.</w:t>
            </w:r>
          </w:p>
        </w:tc>
      </w:tr>
      <w:tr w:rsidR="00BF46B4" w:rsidRPr="00D30BC1" w14:paraId="4CE145B5" w14:textId="77777777" w:rsidTr="00D30BC1">
        <w:trPr>
          <w:trHeight w:val="897"/>
        </w:trPr>
        <w:tc>
          <w:tcPr>
            <w:tcW w:w="1458" w:type="dxa"/>
            <w:gridSpan w:val="3"/>
            <w:shd w:val="clear" w:color="auto" w:fill="auto"/>
            <w:tcMar>
              <w:top w:w="15" w:type="dxa"/>
              <w:left w:w="15" w:type="dxa"/>
              <w:bottom w:w="0" w:type="dxa"/>
              <w:right w:w="15" w:type="dxa"/>
            </w:tcMar>
          </w:tcPr>
          <w:p w14:paraId="4A3D87A0" w14:textId="77777777" w:rsidR="00BF46B4" w:rsidRPr="00D30BC1" w:rsidRDefault="00BF46B4" w:rsidP="00D30BC1">
            <w:pPr>
              <w:rPr>
                <w:rFonts w:ascii="Arial" w:hAnsi="Arial" w:cs="Arial"/>
                <w:sz w:val="20"/>
                <w:szCs w:val="22"/>
              </w:rPr>
            </w:pPr>
            <w:r w:rsidRPr="00D30BC1">
              <w:rPr>
                <w:rFonts w:ascii="Arial" w:hAnsi="Arial" w:cs="Arial"/>
                <w:sz w:val="20"/>
                <w:szCs w:val="22"/>
              </w:rPr>
              <w:t>Development Plan</w:t>
            </w:r>
          </w:p>
        </w:tc>
        <w:tc>
          <w:tcPr>
            <w:tcW w:w="1066" w:type="dxa"/>
            <w:shd w:val="clear" w:color="auto" w:fill="auto"/>
          </w:tcPr>
          <w:p w14:paraId="3588F239" w14:textId="77777777" w:rsidR="00BF46B4" w:rsidRPr="00D30BC1" w:rsidRDefault="00BF46B4" w:rsidP="00D30BC1">
            <w:pPr>
              <w:pStyle w:val="font5"/>
              <w:spacing w:before="0" w:beforeAutospacing="0" w:after="0" w:afterAutospacing="0"/>
              <w:rPr>
                <w:rFonts w:ascii="Arial" w:hAnsi="Arial" w:cs="Arial"/>
                <w:sz w:val="18"/>
                <w:szCs w:val="22"/>
              </w:rPr>
            </w:pPr>
            <w:r w:rsidRPr="00D30BC1">
              <w:rPr>
                <w:rFonts w:ascii="Arial" w:hAnsi="Arial" w:cs="Arial"/>
                <w:sz w:val="18"/>
                <w:szCs w:val="22"/>
              </w:rPr>
              <w:t>2007 - 1.2</w:t>
            </w:r>
          </w:p>
        </w:tc>
        <w:tc>
          <w:tcPr>
            <w:tcW w:w="7198" w:type="dxa"/>
            <w:shd w:val="clear" w:color="auto" w:fill="auto"/>
            <w:tcMar>
              <w:top w:w="15" w:type="dxa"/>
              <w:left w:w="15" w:type="dxa"/>
              <w:bottom w:w="0" w:type="dxa"/>
              <w:right w:w="15" w:type="dxa"/>
            </w:tcMar>
          </w:tcPr>
          <w:p w14:paraId="61C13A2A" w14:textId="77777777" w:rsidR="00BF46B4" w:rsidRPr="00D30BC1" w:rsidRDefault="00BF46B4" w:rsidP="00D30BC1">
            <w:pPr>
              <w:pStyle w:val="font5"/>
              <w:spacing w:before="0" w:beforeAutospacing="0" w:after="120" w:afterAutospacing="0"/>
              <w:rPr>
                <w:rFonts w:ascii="Arial" w:hAnsi="Arial" w:cs="Arial"/>
                <w:sz w:val="20"/>
                <w:szCs w:val="22"/>
              </w:rPr>
            </w:pPr>
            <w:r w:rsidRPr="00D30BC1">
              <w:rPr>
                <w:rFonts w:ascii="Arial" w:hAnsi="Arial" w:cs="Arial"/>
                <w:sz w:val="20"/>
                <w:szCs w:val="22"/>
              </w:rPr>
              <w:t>The design specifications, timing and cost estimates of the development project including, but not limited to, well locations, completion techniques, drilling methods, processing facilities, transportation and marketing. (</w:t>
            </w:r>
            <w:r w:rsidR="00CB0CB2" w:rsidRPr="00D30BC1">
              <w:rPr>
                <w:rFonts w:ascii="Arial" w:hAnsi="Arial" w:cs="Arial"/>
                <w:sz w:val="20"/>
                <w:szCs w:val="22"/>
              </w:rPr>
              <w:t>S</w:t>
            </w:r>
            <w:r w:rsidRPr="00D30BC1">
              <w:rPr>
                <w:rFonts w:ascii="Arial" w:hAnsi="Arial" w:cs="Arial"/>
                <w:sz w:val="20"/>
                <w:szCs w:val="22"/>
              </w:rPr>
              <w:t>ee also Project</w:t>
            </w:r>
            <w:r w:rsidR="00CB0CB2" w:rsidRPr="00D30BC1">
              <w:rPr>
                <w:rFonts w:ascii="Arial" w:hAnsi="Arial" w:cs="Arial"/>
                <w:sz w:val="20"/>
                <w:szCs w:val="22"/>
              </w:rPr>
              <w:t>.</w:t>
            </w:r>
            <w:r w:rsidRPr="00D30BC1">
              <w:rPr>
                <w:rFonts w:ascii="Arial" w:hAnsi="Arial" w:cs="Arial"/>
                <w:sz w:val="20"/>
                <w:szCs w:val="22"/>
              </w:rPr>
              <w:t>)</w:t>
            </w:r>
          </w:p>
        </w:tc>
      </w:tr>
      <w:tr w:rsidR="00BF46B4" w:rsidRPr="00D30BC1" w14:paraId="55816610" w14:textId="77777777" w:rsidTr="00D30BC1">
        <w:trPr>
          <w:trHeight w:val="1118"/>
        </w:trPr>
        <w:tc>
          <w:tcPr>
            <w:tcW w:w="1458" w:type="dxa"/>
            <w:gridSpan w:val="3"/>
            <w:shd w:val="clear" w:color="auto" w:fill="auto"/>
            <w:tcMar>
              <w:top w:w="15" w:type="dxa"/>
              <w:left w:w="15" w:type="dxa"/>
              <w:bottom w:w="0" w:type="dxa"/>
              <w:right w:w="15" w:type="dxa"/>
            </w:tcMar>
          </w:tcPr>
          <w:p w14:paraId="793C1288"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 xml:space="preserve">Development Unclarified or </w:t>
            </w:r>
            <w:r w:rsidR="00CB0CB2" w:rsidRPr="00D30BC1">
              <w:rPr>
                <w:rFonts w:ascii="Arial" w:hAnsi="Arial" w:cs="Arial"/>
                <w:sz w:val="20"/>
                <w:szCs w:val="22"/>
              </w:rPr>
              <w:t>O</w:t>
            </w:r>
            <w:r w:rsidRPr="00D30BC1">
              <w:rPr>
                <w:rFonts w:ascii="Arial" w:hAnsi="Arial" w:cs="Arial"/>
                <w:sz w:val="20"/>
                <w:szCs w:val="22"/>
              </w:rPr>
              <w:t>n Hold</w:t>
            </w:r>
          </w:p>
        </w:tc>
        <w:tc>
          <w:tcPr>
            <w:tcW w:w="1066" w:type="dxa"/>
            <w:shd w:val="clear" w:color="auto" w:fill="auto"/>
          </w:tcPr>
          <w:p w14:paraId="109FED2F"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2007 - 2.1.3.1 and Table </w:t>
            </w:r>
            <w:r w:rsidR="00CB0CB2" w:rsidRPr="00D30BC1">
              <w:rPr>
                <w:rFonts w:ascii="Arial" w:hAnsi="Arial" w:cs="Arial"/>
                <w:sz w:val="18"/>
                <w:szCs w:val="22"/>
              </w:rPr>
              <w:t>1</w:t>
            </w:r>
          </w:p>
        </w:tc>
        <w:tc>
          <w:tcPr>
            <w:tcW w:w="7198" w:type="dxa"/>
            <w:shd w:val="clear" w:color="auto" w:fill="auto"/>
            <w:tcMar>
              <w:top w:w="15" w:type="dxa"/>
              <w:left w:w="15" w:type="dxa"/>
              <w:bottom w:w="0" w:type="dxa"/>
              <w:right w:w="15" w:type="dxa"/>
            </w:tcMar>
          </w:tcPr>
          <w:p w14:paraId="625AEEA0" w14:textId="77777777" w:rsidR="00600FF5" w:rsidRPr="00D30BC1" w:rsidRDefault="00BF46B4" w:rsidP="00D30BC1">
            <w:pPr>
              <w:spacing w:after="120"/>
              <w:rPr>
                <w:rFonts w:ascii="Arial" w:hAnsi="Arial" w:cs="Arial"/>
                <w:sz w:val="20"/>
                <w:szCs w:val="22"/>
              </w:rPr>
            </w:pPr>
            <w:r w:rsidRPr="00D30BC1">
              <w:rPr>
                <w:rFonts w:ascii="Arial" w:hAnsi="Arial" w:cs="Arial"/>
                <w:sz w:val="20"/>
                <w:szCs w:val="18"/>
              </w:rPr>
              <w:t>A discovered accumulation where project activities are on hold and/or where justification as a commercial development may be subject to significant delay.</w:t>
            </w:r>
            <w:r w:rsidRPr="00D30BC1">
              <w:rPr>
                <w:rFonts w:ascii="Arial" w:hAnsi="Arial" w:cs="Arial"/>
                <w:sz w:val="18"/>
                <w:szCs w:val="18"/>
              </w:rPr>
              <w:t xml:space="preserve"> </w:t>
            </w:r>
            <w:r w:rsidRPr="00D30BC1">
              <w:rPr>
                <w:rFonts w:ascii="Arial" w:hAnsi="Arial" w:cs="Arial"/>
                <w:sz w:val="20"/>
                <w:szCs w:val="22"/>
              </w:rPr>
              <w:t>A project maturity sub-class that reflects the actions re</w:t>
            </w:r>
            <w:r w:rsidR="00CB0CB2" w:rsidRPr="00D30BC1">
              <w:rPr>
                <w:rFonts w:ascii="Arial" w:hAnsi="Arial" w:cs="Arial"/>
                <w:sz w:val="20"/>
                <w:szCs w:val="22"/>
              </w:rPr>
              <w:t>quired to move a project toward</w:t>
            </w:r>
            <w:r w:rsidRPr="00D30BC1">
              <w:rPr>
                <w:rFonts w:ascii="Arial" w:hAnsi="Arial" w:cs="Arial"/>
                <w:sz w:val="20"/>
                <w:szCs w:val="22"/>
              </w:rPr>
              <w:t xml:space="preserve"> commercial production.</w:t>
            </w:r>
          </w:p>
        </w:tc>
      </w:tr>
      <w:tr w:rsidR="00BF46B4" w:rsidRPr="00D30BC1" w14:paraId="0B9F8DCD" w14:textId="77777777" w:rsidTr="00D30BC1">
        <w:trPr>
          <w:trHeight w:val="1766"/>
        </w:trPr>
        <w:tc>
          <w:tcPr>
            <w:tcW w:w="1458" w:type="dxa"/>
            <w:gridSpan w:val="3"/>
            <w:shd w:val="clear" w:color="auto" w:fill="auto"/>
            <w:tcMar>
              <w:top w:w="15" w:type="dxa"/>
              <w:left w:w="15" w:type="dxa"/>
              <w:bottom w:w="0" w:type="dxa"/>
              <w:right w:w="15" w:type="dxa"/>
            </w:tcMar>
          </w:tcPr>
          <w:p w14:paraId="603549E7"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Discovered</w:t>
            </w:r>
          </w:p>
        </w:tc>
        <w:tc>
          <w:tcPr>
            <w:tcW w:w="1066" w:type="dxa"/>
            <w:shd w:val="clear" w:color="auto" w:fill="auto"/>
          </w:tcPr>
          <w:p w14:paraId="776117CE" w14:textId="77777777" w:rsidR="00BF46B4" w:rsidRPr="00D30BC1" w:rsidRDefault="00BF46B4" w:rsidP="00D30BC1">
            <w:pPr>
              <w:pStyle w:val="font5"/>
              <w:spacing w:before="0" w:beforeAutospacing="0" w:after="0" w:afterAutospacing="0"/>
              <w:rPr>
                <w:rFonts w:ascii="Arial" w:hAnsi="Arial" w:cs="Arial"/>
                <w:sz w:val="18"/>
                <w:szCs w:val="22"/>
              </w:rPr>
            </w:pPr>
            <w:r w:rsidRPr="00D30BC1">
              <w:rPr>
                <w:rFonts w:ascii="Arial" w:hAnsi="Arial" w:cs="Arial"/>
                <w:sz w:val="18"/>
                <w:szCs w:val="22"/>
              </w:rPr>
              <w:t>2007 - 2.1.1</w:t>
            </w:r>
          </w:p>
        </w:tc>
        <w:tc>
          <w:tcPr>
            <w:tcW w:w="7198" w:type="dxa"/>
            <w:shd w:val="clear" w:color="auto" w:fill="auto"/>
            <w:tcMar>
              <w:top w:w="15" w:type="dxa"/>
              <w:left w:w="15" w:type="dxa"/>
              <w:bottom w:w="0" w:type="dxa"/>
              <w:right w:w="15" w:type="dxa"/>
            </w:tcMar>
          </w:tcPr>
          <w:p w14:paraId="62DB2176" w14:textId="77777777" w:rsidR="00BF46B4" w:rsidRPr="00D30BC1" w:rsidRDefault="00BF46B4" w:rsidP="00D30BC1">
            <w:pPr>
              <w:pStyle w:val="CommentText"/>
              <w:spacing w:after="120"/>
              <w:rPr>
                <w:rFonts w:ascii="Arial" w:eastAsia="Arial Unicode MS" w:hAnsi="Arial" w:cs="Arial"/>
                <w:szCs w:val="22"/>
              </w:rPr>
            </w:pPr>
            <w:r w:rsidRPr="00D30BC1">
              <w:rPr>
                <w:rFonts w:ascii="Arial" w:hAnsi="Arial" w:cs="Arial"/>
              </w:rPr>
              <w:t xml:space="preserve">A discovery is one petroleum accumulation, or several petroleum accumulations collectively, for which one or several exploratory wells have established through testing, sampling, and/or logging the existence of a significant quantity of potentially moveable hydrocarbons. </w:t>
            </w:r>
            <w:r w:rsidRPr="00D30BC1">
              <w:rPr>
                <w:rFonts w:ascii="Arial" w:hAnsi="Arial" w:cs="Arial"/>
                <w:iCs/>
              </w:rPr>
              <w:t xml:space="preserve">In this context, </w:t>
            </w:r>
            <w:r w:rsidR="00C30824" w:rsidRPr="00D30BC1">
              <w:rPr>
                <w:rFonts w:cs="Arial"/>
                <w:iCs/>
                <w:sz w:val="18"/>
              </w:rPr>
              <w:t>“</w:t>
            </w:r>
            <w:r w:rsidRPr="00D30BC1">
              <w:rPr>
                <w:rFonts w:ascii="Arial" w:hAnsi="Arial" w:cs="Arial"/>
                <w:iCs/>
              </w:rPr>
              <w:t>significant</w:t>
            </w:r>
            <w:r w:rsidR="00C30824" w:rsidRPr="00D30BC1">
              <w:rPr>
                <w:rFonts w:cs="Arial"/>
                <w:iCs/>
                <w:sz w:val="18"/>
              </w:rPr>
              <w:t>”</w:t>
            </w:r>
            <w:r w:rsidRPr="00D30BC1">
              <w:rPr>
                <w:rFonts w:ascii="Arial" w:hAnsi="Arial" w:cs="Arial"/>
                <w:iCs/>
              </w:rPr>
              <w:t xml:space="preserve"> implies that there is evidence of a sufficient quantity of petroleum to justify estimating the in-place volume demonstrated by the well(s) and for evaluating the potential for economic recovery.  </w:t>
            </w:r>
            <w:r w:rsidRPr="00D30BC1">
              <w:rPr>
                <w:rFonts w:ascii="Arial" w:hAnsi="Arial" w:cs="Arial"/>
                <w:szCs w:val="22"/>
              </w:rPr>
              <w:t xml:space="preserve"> (See also Known Accumulations</w:t>
            </w:r>
            <w:r w:rsidR="00657DB3" w:rsidRPr="00D30BC1">
              <w:rPr>
                <w:rFonts w:ascii="Arial" w:hAnsi="Arial" w:cs="Arial"/>
                <w:szCs w:val="22"/>
              </w:rPr>
              <w:t>.</w:t>
            </w:r>
            <w:r w:rsidRPr="00D30BC1">
              <w:rPr>
                <w:rFonts w:ascii="Arial" w:hAnsi="Arial" w:cs="Arial"/>
                <w:szCs w:val="22"/>
              </w:rPr>
              <w:t>)</w:t>
            </w:r>
          </w:p>
        </w:tc>
      </w:tr>
      <w:tr w:rsidR="00BF46B4" w:rsidRPr="00D30BC1" w14:paraId="21573D51" w14:textId="77777777" w:rsidTr="00D30BC1">
        <w:trPr>
          <w:trHeight w:val="1530"/>
        </w:trPr>
        <w:tc>
          <w:tcPr>
            <w:tcW w:w="1458" w:type="dxa"/>
            <w:gridSpan w:val="3"/>
            <w:shd w:val="clear" w:color="auto" w:fill="auto"/>
            <w:tcMar>
              <w:top w:w="15" w:type="dxa"/>
              <w:left w:w="15" w:type="dxa"/>
              <w:bottom w:w="0" w:type="dxa"/>
              <w:right w:w="15" w:type="dxa"/>
            </w:tcMar>
          </w:tcPr>
          <w:p w14:paraId="030FB476" w14:textId="77777777" w:rsidR="00BF46B4" w:rsidRPr="00D30BC1" w:rsidRDefault="00BF46B4" w:rsidP="00D30BC1">
            <w:pPr>
              <w:rPr>
                <w:rFonts w:ascii="Arial" w:eastAsia="Arial Unicode MS" w:hAnsi="Arial" w:cs="Arial"/>
                <w:sz w:val="20"/>
                <w:szCs w:val="22"/>
              </w:rPr>
            </w:pPr>
            <w:r w:rsidRPr="00D30BC1">
              <w:rPr>
                <w:rFonts w:ascii="Arial" w:eastAsia="Arial Unicode MS" w:hAnsi="Arial" w:cs="Arial"/>
                <w:sz w:val="20"/>
                <w:szCs w:val="22"/>
              </w:rPr>
              <w:t>Discovered Petroleum Initially-in-Place</w:t>
            </w:r>
            <w:r w:rsidRPr="00D30BC1">
              <w:rPr>
                <w:rFonts w:ascii="Arial" w:hAnsi="Arial" w:cs="Arial"/>
                <w:sz w:val="20"/>
                <w:szCs w:val="22"/>
              </w:rPr>
              <w:t xml:space="preserve"> </w:t>
            </w:r>
          </w:p>
        </w:tc>
        <w:tc>
          <w:tcPr>
            <w:tcW w:w="1066" w:type="dxa"/>
            <w:shd w:val="clear" w:color="auto" w:fill="auto"/>
          </w:tcPr>
          <w:p w14:paraId="0C8AD52F"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2007 - 1.1</w:t>
            </w:r>
          </w:p>
        </w:tc>
        <w:tc>
          <w:tcPr>
            <w:tcW w:w="7198" w:type="dxa"/>
            <w:shd w:val="clear" w:color="auto" w:fill="auto"/>
            <w:tcMar>
              <w:top w:w="15" w:type="dxa"/>
              <w:left w:w="15" w:type="dxa"/>
              <w:bottom w:w="0" w:type="dxa"/>
              <w:right w:w="15" w:type="dxa"/>
            </w:tcMar>
          </w:tcPr>
          <w:p w14:paraId="45211609" w14:textId="77777777" w:rsidR="00BF46B4" w:rsidRPr="00D30BC1" w:rsidRDefault="00BF46B4" w:rsidP="00D30BC1">
            <w:pPr>
              <w:spacing w:after="120"/>
              <w:rPr>
                <w:rFonts w:ascii="Arial" w:eastAsia="Arial Unicode MS" w:hAnsi="Arial" w:cs="Arial"/>
                <w:sz w:val="20"/>
                <w:szCs w:val="22"/>
              </w:rPr>
            </w:pPr>
            <w:r w:rsidRPr="00D30BC1">
              <w:rPr>
                <w:rStyle w:val="header3burg"/>
                <w:rFonts w:ascii="Arial" w:hAnsi="Arial" w:cs="Arial"/>
                <w:sz w:val="20"/>
              </w:rPr>
              <w:t>Discovered Petroleum Initially-in-Place</w:t>
            </w:r>
            <w:r w:rsidRPr="00D30BC1">
              <w:rPr>
                <w:rFonts w:ascii="Arial" w:hAnsi="Arial" w:cs="Arial"/>
                <w:b/>
                <w:bCs/>
                <w:sz w:val="20"/>
              </w:rPr>
              <w:t xml:space="preserve"> </w:t>
            </w:r>
            <w:r w:rsidRPr="00D30BC1">
              <w:rPr>
                <w:rFonts w:ascii="Arial" w:hAnsi="Arial" w:cs="Arial"/>
                <w:sz w:val="20"/>
              </w:rPr>
              <w:t>is that quantity of petroleum that is estimated, as of a given date, to be contained in known accumulations prior to production.</w:t>
            </w:r>
            <w:r w:rsidRPr="00D30BC1">
              <w:rPr>
                <w:rFonts w:ascii="Arial" w:eastAsia="Arial Unicode MS" w:hAnsi="Arial" w:cs="Arial"/>
                <w:sz w:val="20"/>
                <w:szCs w:val="22"/>
              </w:rPr>
              <w:t xml:space="preserve">  Discovered Petroleum Initially-in-Place may be subdivided into Commercial, Sub-</w:t>
            </w:r>
            <w:r w:rsidR="00657DB3" w:rsidRPr="00D30BC1">
              <w:rPr>
                <w:rFonts w:ascii="Arial" w:eastAsia="Arial Unicode MS" w:hAnsi="Arial" w:cs="Arial"/>
                <w:sz w:val="20"/>
                <w:szCs w:val="22"/>
              </w:rPr>
              <w:t>C</w:t>
            </w:r>
            <w:r w:rsidRPr="00D30BC1">
              <w:rPr>
                <w:rFonts w:ascii="Arial" w:eastAsia="Arial Unicode MS" w:hAnsi="Arial" w:cs="Arial"/>
                <w:sz w:val="20"/>
                <w:szCs w:val="22"/>
              </w:rPr>
              <w:t>ommercial</w:t>
            </w:r>
            <w:r w:rsidR="00657DB3" w:rsidRPr="00D30BC1">
              <w:rPr>
                <w:rFonts w:ascii="Arial" w:eastAsia="Arial Unicode MS" w:hAnsi="Arial" w:cs="Arial"/>
                <w:sz w:val="20"/>
                <w:szCs w:val="22"/>
              </w:rPr>
              <w:t>,</w:t>
            </w:r>
            <w:r w:rsidRPr="00D30BC1">
              <w:rPr>
                <w:rFonts w:ascii="Arial" w:eastAsia="Arial Unicode MS" w:hAnsi="Arial" w:cs="Arial"/>
                <w:sz w:val="20"/>
                <w:szCs w:val="22"/>
              </w:rPr>
              <w:t xml:space="preserve"> and Unrecoverable, with the estimated commercially recoverable portion being classified as Reserves and the estimated sub-commercial recoverable portion being classified as Contingent Resources.</w:t>
            </w:r>
          </w:p>
        </w:tc>
      </w:tr>
      <w:tr w:rsidR="00BF46B4" w:rsidRPr="00D30BC1" w14:paraId="251E12B5" w14:textId="77777777" w:rsidTr="00D30BC1">
        <w:trPr>
          <w:trHeight w:val="508"/>
        </w:trPr>
        <w:tc>
          <w:tcPr>
            <w:tcW w:w="1458" w:type="dxa"/>
            <w:gridSpan w:val="3"/>
            <w:shd w:val="clear" w:color="auto" w:fill="auto"/>
            <w:tcMar>
              <w:top w:w="15" w:type="dxa"/>
              <w:left w:w="15" w:type="dxa"/>
              <w:bottom w:w="0" w:type="dxa"/>
              <w:right w:w="15" w:type="dxa"/>
            </w:tcMar>
          </w:tcPr>
          <w:p w14:paraId="2AD7FFC1"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Dry Gas</w:t>
            </w:r>
          </w:p>
        </w:tc>
        <w:tc>
          <w:tcPr>
            <w:tcW w:w="1066" w:type="dxa"/>
            <w:shd w:val="clear" w:color="auto" w:fill="auto"/>
          </w:tcPr>
          <w:p w14:paraId="3B7B52D9" w14:textId="77777777" w:rsidR="00BF46B4" w:rsidRPr="00D30BC1" w:rsidRDefault="00BF46B4" w:rsidP="00D30BC1">
            <w:pPr>
              <w:rPr>
                <w:rFonts w:ascii="Arial" w:hAnsi="Arial" w:cs="Arial"/>
                <w:sz w:val="18"/>
                <w:szCs w:val="22"/>
              </w:rPr>
            </w:pPr>
            <w:r w:rsidRPr="00D30BC1">
              <w:rPr>
                <w:rFonts w:ascii="Arial" w:hAnsi="Arial" w:cs="Arial"/>
                <w:sz w:val="18"/>
                <w:szCs w:val="22"/>
              </w:rPr>
              <w:t>2001 - 3.2</w:t>
            </w:r>
          </w:p>
        </w:tc>
        <w:tc>
          <w:tcPr>
            <w:tcW w:w="7198" w:type="dxa"/>
            <w:shd w:val="clear" w:color="auto" w:fill="auto"/>
            <w:tcMar>
              <w:top w:w="15" w:type="dxa"/>
              <w:left w:w="15" w:type="dxa"/>
              <w:bottom w:w="0" w:type="dxa"/>
              <w:right w:w="15" w:type="dxa"/>
            </w:tcMar>
          </w:tcPr>
          <w:p w14:paraId="05263078"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Dry Gas is a natural </w:t>
            </w:r>
            <w:r w:rsidR="00657DB3" w:rsidRPr="00D30BC1">
              <w:rPr>
                <w:rFonts w:ascii="Arial" w:hAnsi="Arial" w:cs="Arial"/>
                <w:sz w:val="20"/>
                <w:szCs w:val="22"/>
              </w:rPr>
              <w:t>gas remaining after hydrocarbon</w:t>
            </w:r>
            <w:r w:rsidRPr="00D30BC1">
              <w:rPr>
                <w:rFonts w:ascii="Arial" w:hAnsi="Arial" w:cs="Arial"/>
                <w:sz w:val="20"/>
                <w:szCs w:val="22"/>
              </w:rPr>
              <w:t xml:space="preserve"> liquids have been removed prior to the reference point. The dry gas and removed hydrocarbon liquids are accounted for separately in resource assessments. It should be recognized that this is a resource assessment definition and not a phase behavior definition. (Also called Lean Gas</w:t>
            </w:r>
            <w:r w:rsidR="00657DB3" w:rsidRPr="00D30BC1">
              <w:rPr>
                <w:rFonts w:ascii="Arial" w:hAnsi="Arial" w:cs="Arial"/>
                <w:sz w:val="20"/>
                <w:szCs w:val="22"/>
              </w:rPr>
              <w:t>.</w:t>
            </w:r>
            <w:r w:rsidRPr="00D30BC1">
              <w:rPr>
                <w:rFonts w:ascii="Arial" w:hAnsi="Arial" w:cs="Arial"/>
                <w:sz w:val="20"/>
                <w:szCs w:val="22"/>
              </w:rPr>
              <w:t>)</w:t>
            </w:r>
          </w:p>
        </w:tc>
      </w:tr>
      <w:tr w:rsidR="00BF46B4" w:rsidRPr="00D30BC1" w14:paraId="62011A82" w14:textId="77777777" w:rsidTr="00D30BC1">
        <w:trPr>
          <w:trHeight w:val="529"/>
        </w:trPr>
        <w:tc>
          <w:tcPr>
            <w:tcW w:w="1458" w:type="dxa"/>
            <w:gridSpan w:val="3"/>
            <w:shd w:val="clear" w:color="auto" w:fill="auto"/>
            <w:tcMar>
              <w:top w:w="15" w:type="dxa"/>
              <w:left w:w="15" w:type="dxa"/>
              <w:bottom w:w="0" w:type="dxa"/>
              <w:right w:w="15" w:type="dxa"/>
            </w:tcMar>
          </w:tcPr>
          <w:p w14:paraId="0DC07C8E"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Dry Hole</w:t>
            </w:r>
          </w:p>
        </w:tc>
        <w:tc>
          <w:tcPr>
            <w:tcW w:w="1066" w:type="dxa"/>
            <w:shd w:val="clear" w:color="auto" w:fill="auto"/>
          </w:tcPr>
          <w:p w14:paraId="2C76FC0C" w14:textId="77777777" w:rsidR="00BF46B4" w:rsidRPr="00D30BC1" w:rsidRDefault="00BF46B4" w:rsidP="00D30BC1">
            <w:pPr>
              <w:rPr>
                <w:rFonts w:ascii="Arial" w:hAnsi="Arial" w:cs="Arial"/>
                <w:sz w:val="18"/>
                <w:szCs w:val="22"/>
              </w:rPr>
            </w:pPr>
            <w:r w:rsidRPr="00D30BC1">
              <w:rPr>
                <w:rFonts w:ascii="Arial" w:hAnsi="Arial" w:cs="Arial"/>
                <w:sz w:val="18"/>
                <w:szCs w:val="22"/>
              </w:rPr>
              <w:t>2001 - 2.5</w:t>
            </w:r>
          </w:p>
        </w:tc>
        <w:tc>
          <w:tcPr>
            <w:tcW w:w="7198" w:type="dxa"/>
            <w:shd w:val="clear" w:color="auto" w:fill="auto"/>
            <w:tcMar>
              <w:top w:w="15" w:type="dxa"/>
              <w:left w:w="15" w:type="dxa"/>
              <w:bottom w:w="0" w:type="dxa"/>
              <w:right w:w="15" w:type="dxa"/>
            </w:tcMar>
          </w:tcPr>
          <w:p w14:paraId="6BB0357E"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A well found to be incapable of producing either oil or gas in sufficient quantities to justify completion as an oil or gas well.</w:t>
            </w:r>
          </w:p>
        </w:tc>
      </w:tr>
      <w:tr w:rsidR="00BF46B4" w:rsidRPr="00D30BC1" w14:paraId="4625F4A1" w14:textId="77777777" w:rsidTr="00D30BC1">
        <w:trPr>
          <w:trHeight w:val="827"/>
        </w:trPr>
        <w:tc>
          <w:tcPr>
            <w:tcW w:w="1458" w:type="dxa"/>
            <w:gridSpan w:val="3"/>
            <w:shd w:val="clear" w:color="auto" w:fill="auto"/>
            <w:tcMar>
              <w:top w:w="15" w:type="dxa"/>
              <w:left w:w="15" w:type="dxa"/>
              <w:bottom w:w="0" w:type="dxa"/>
              <w:right w:w="15" w:type="dxa"/>
            </w:tcMar>
          </w:tcPr>
          <w:p w14:paraId="5F62D141"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Economic</w:t>
            </w:r>
          </w:p>
        </w:tc>
        <w:tc>
          <w:tcPr>
            <w:tcW w:w="1066" w:type="dxa"/>
            <w:shd w:val="clear" w:color="auto" w:fill="auto"/>
          </w:tcPr>
          <w:p w14:paraId="6D029742"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2007 - 3.1.2</w:t>
            </w:r>
          </w:p>
          <w:p w14:paraId="1771A75B"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2001</w:t>
            </w:r>
            <w:r w:rsidR="00657DB3" w:rsidRPr="00D30BC1">
              <w:rPr>
                <w:rFonts w:ascii="Arial" w:eastAsia="Arial Unicode MS" w:hAnsi="Arial" w:cs="Arial"/>
                <w:sz w:val="18"/>
                <w:szCs w:val="22"/>
              </w:rPr>
              <w:t xml:space="preserve"> </w:t>
            </w:r>
            <w:r w:rsidRPr="00D30BC1">
              <w:rPr>
                <w:rFonts w:ascii="Arial" w:eastAsia="Arial Unicode MS" w:hAnsi="Arial" w:cs="Arial"/>
                <w:sz w:val="18"/>
                <w:szCs w:val="22"/>
              </w:rPr>
              <w:t>- 4.3</w:t>
            </w:r>
          </w:p>
        </w:tc>
        <w:tc>
          <w:tcPr>
            <w:tcW w:w="7198" w:type="dxa"/>
            <w:shd w:val="clear" w:color="auto" w:fill="auto"/>
            <w:tcMar>
              <w:top w:w="15" w:type="dxa"/>
              <w:left w:w="15" w:type="dxa"/>
              <w:bottom w:w="0" w:type="dxa"/>
              <w:right w:w="15" w:type="dxa"/>
            </w:tcMar>
          </w:tcPr>
          <w:p w14:paraId="7E2E0294"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In relation to petroleum Reserves and Resources, economic refers to the situation where the income from an operation exceeds the expenses involved in, or attributable to, that operation.</w:t>
            </w:r>
          </w:p>
        </w:tc>
      </w:tr>
      <w:tr w:rsidR="00BF46B4" w:rsidRPr="00D30BC1" w14:paraId="40C9A587" w14:textId="77777777" w:rsidTr="00D30BC1">
        <w:trPr>
          <w:trHeight w:val="897"/>
        </w:trPr>
        <w:tc>
          <w:tcPr>
            <w:tcW w:w="1458" w:type="dxa"/>
            <w:gridSpan w:val="3"/>
            <w:shd w:val="clear" w:color="auto" w:fill="auto"/>
            <w:tcMar>
              <w:top w:w="15" w:type="dxa"/>
              <w:left w:w="15" w:type="dxa"/>
              <w:bottom w:w="0" w:type="dxa"/>
              <w:right w:w="15" w:type="dxa"/>
            </w:tcMar>
          </w:tcPr>
          <w:p w14:paraId="3926B0E9"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Economic Interest</w:t>
            </w:r>
          </w:p>
        </w:tc>
        <w:tc>
          <w:tcPr>
            <w:tcW w:w="1066" w:type="dxa"/>
            <w:shd w:val="clear" w:color="auto" w:fill="auto"/>
          </w:tcPr>
          <w:p w14:paraId="1C5DAE1E" w14:textId="77777777" w:rsidR="00BF46B4" w:rsidRPr="00D30BC1" w:rsidRDefault="00BF46B4" w:rsidP="00D30BC1">
            <w:pPr>
              <w:rPr>
                <w:rFonts w:ascii="Arial" w:hAnsi="Arial" w:cs="Arial"/>
                <w:sz w:val="18"/>
                <w:szCs w:val="22"/>
              </w:rPr>
            </w:pPr>
            <w:r w:rsidRPr="00D30BC1">
              <w:rPr>
                <w:rFonts w:ascii="Arial" w:hAnsi="Arial" w:cs="Arial"/>
                <w:sz w:val="18"/>
                <w:szCs w:val="22"/>
              </w:rPr>
              <w:t>2001 - 9.4.1</w:t>
            </w:r>
          </w:p>
        </w:tc>
        <w:tc>
          <w:tcPr>
            <w:tcW w:w="7198" w:type="dxa"/>
            <w:shd w:val="clear" w:color="auto" w:fill="auto"/>
            <w:tcMar>
              <w:top w:w="15" w:type="dxa"/>
              <w:left w:w="15" w:type="dxa"/>
              <w:bottom w:w="0" w:type="dxa"/>
              <w:right w:w="15" w:type="dxa"/>
            </w:tcMar>
          </w:tcPr>
          <w:p w14:paraId="50ED75B6"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An Economic Interest is possessed in every case in which an investor has acquired any Interest in mineral in place and secures, by any form of legal relationship, revenue derived from the extraction of the mineral to which he must look for a return of his capital.</w:t>
            </w:r>
          </w:p>
        </w:tc>
      </w:tr>
      <w:tr w:rsidR="00BF46B4" w:rsidRPr="00D30BC1" w14:paraId="461DD51D" w14:textId="77777777" w:rsidTr="00D30BC1">
        <w:trPr>
          <w:trHeight w:val="449"/>
        </w:trPr>
        <w:tc>
          <w:tcPr>
            <w:tcW w:w="1458" w:type="dxa"/>
            <w:gridSpan w:val="3"/>
            <w:shd w:val="clear" w:color="auto" w:fill="auto"/>
            <w:tcMar>
              <w:top w:w="15" w:type="dxa"/>
              <w:left w:w="15" w:type="dxa"/>
              <w:bottom w:w="0" w:type="dxa"/>
              <w:right w:w="15" w:type="dxa"/>
            </w:tcMar>
          </w:tcPr>
          <w:p w14:paraId="12E000CA" w14:textId="77777777" w:rsidR="00BF46B4" w:rsidRPr="00D30BC1" w:rsidRDefault="00BF46B4" w:rsidP="00D30BC1">
            <w:pPr>
              <w:rPr>
                <w:rFonts w:ascii="Arial" w:hAnsi="Arial" w:cs="Arial"/>
                <w:sz w:val="20"/>
                <w:szCs w:val="22"/>
                <w:lang w:val="nb-NO"/>
              </w:rPr>
            </w:pPr>
            <w:r w:rsidRPr="00D30BC1">
              <w:rPr>
                <w:rFonts w:ascii="Arial" w:hAnsi="Arial" w:cs="Arial"/>
                <w:sz w:val="20"/>
                <w:szCs w:val="22"/>
                <w:lang w:val="nb-NO"/>
              </w:rPr>
              <w:t>Economic Limit</w:t>
            </w:r>
          </w:p>
        </w:tc>
        <w:tc>
          <w:tcPr>
            <w:tcW w:w="1066" w:type="dxa"/>
            <w:shd w:val="clear" w:color="auto" w:fill="auto"/>
          </w:tcPr>
          <w:p w14:paraId="368B0992" w14:textId="77777777" w:rsidR="00BF46B4" w:rsidRPr="00D30BC1" w:rsidRDefault="00BF46B4" w:rsidP="00D30BC1">
            <w:pPr>
              <w:rPr>
                <w:rFonts w:ascii="Arial" w:hAnsi="Arial" w:cs="Arial"/>
                <w:sz w:val="18"/>
                <w:szCs w:val="22"/>
              </w:rPr>
            </w:pPr>
            <w:r w:rsidRPr="00D30BC1">
              <w:rPr>
                <w:rFonts w:ascii="Arial" w:hAnsi="Arial" w:cs="Arial"/>
                <w:sz w:val="18"/>
                <w:szCs w:val="22"/>
              </w:rPr>
              <w:t>2007 - 3.1.2</w:t>
            </w:r>
          </w:p>
          <w:p w14:paraId="0EFAE4C2" w14:textId="77777777" w:rsidR="00BF46B4" w:rsidRPr="00D30BC1" w:rsidRDefault="00BF46B4" w:rsidP="00D30BC1">
            <w:pPr>
              <w:rPr>
                <w:rFonts w:ascii="Arial" w:hAnsi="Arial" w:cs="Arial"/>
                <w:sz w:val="18"/>
                <w:szCs w:val="22"/>
              </w:rPr>
            </w:pPr>
            <w:r w:rsidRPr="00D30BC1">
              <w:rPr>
                <w:rFonts w:ascii="Arial" w:hAnsi="Arial" w:cs="Arial"/>
                <w:sz w:val="18"/>
                <w:szCs w:val="22"/>
              </w:rPr>
              <w:t>2001 - 4.3</w:t>
            </w:r>
          </w:p>
        </w:tc>
        <w:tc>
          <w:tcPr>
            <w:tcW w:w="7198" w:type="dxa"/>
            <w:shd w:val="clear" w:color="auto" w:fill="auto"/>
            <w:tcMar>
              <w:top w:w="15" w:type="dxa"/>
              <w:left w:w="15" w:type="dxa"/>
              <w:bottom w:w="0" w:type="dxa"/>
              <w:right w:w="15" w:type="dxa"/>
            </w:tcMar>
          </w:tcPr>
          <w:p w14:paraId="4A269B3A" w14:textId="77777777" w:rsidR="00BF46B4" w:rsidRPr="00D30BC1" w:rsidRDefault="00BF46B4" w:rsidP="00D30BC1">
            <w:pPr>
              <w:spacing w:after="120"/>
              <w:rPr>
                <w:rFonts w:ascii="Arial" w:hAnsi="Arial" w:cs="Arial"/>
                <w:sz w:val="20"/>
                <w:szCs w:val="20"/>
              </w:rPr>
            </w:pPr>
            <w:r w:rsidRPr="00D30BC1">
              <w:rPr>
                <w:rFonts w:ascii="Arial" w:hAnsi="Arial" w:cs="Arial"/>
                <w:sz w:val="20"/>
                <w:szCs w:val="20"/>
              </w:rPr>
              <w:t>Economic limit is defined as the production rate beyond which the net operating cash flows (after royalties or share of production owing to others) from a project, which may be an individual well, lease, or entire field, are negative.</w:t>
            </w:r>
          </w:p>
        </w:tc>
      </w:tr>
      <w:tr w:rsidR="00BF46B4" w:rsidRPr="00D30BC1" w14:paraId="42CA28D8" w14:textId="77777777" w:rsidTr="00D30BC1">
        <w:trPr>
          <w:trHeight w:val="449"/>
        </w:trPr>
        <w:tc>
          <w:tcPr>
            <w:tcW w:w="1458" w:type="dxa"/>
            <w:gridSpan w:val="3"/>
            <w:shd w:val="clear" w:color="auto" w:fill="auto"/>
            <w:tcMar>
              <w:top w:w="15" w:type="dxa"/>
              <w:left w:w="15" w:type="dxa"/>
              <w:bottom w:w="0" w:type="dxa"/>
              <w:right w:w="15" w:type="dxa"/>
            </w:tcMar>
          </w:tcPr>
          <w:p w14:paraId="01859999" w14:textId="77777777" w:rsidR="00BF46B4" w:rsidRPr="00D30BC1" w:rsidRDefault="00BF46B4" w:rsidP="00D30BC1">
            <w:pPr>
              <w:rPr>
                <w:rFonts w:ascii="Arial" w:eastAsia="Arial Unicode MS" w:hAnsi="Arial" w:cs="Arial"/>
                <w:sz w:val="20"/>
                <w:szCs w:val="22"/>
                <w:lang w:val="nb-NO"/>
              </w:rPr>
            </w:pPr>
            <w:r w:rsidRPr="00D30BC1">
              <w:rPr>
                <w:rFonts w:ascii="Arial" w:hAnsi="Arial" w:cs="Arial"/>
                <w:sz w:val="20"/>
                <w:szCs w:val="22"/>
                <w:lang w:val="nb-NO"/>
              </w:rPr>
              <w:t>Entitlement</w:t>
            </w:r>
          </w:p>
        </w:tc>
        <w:tc>
          <w:tcPr>
            <w:tcW w:w="1066" w:type="dxa"/>
            <w:shd w:val="clear" w:color="auto" w:fill="auto"/>
          </w:tcPr>
          <w:p w14:paraId="7D6230CF" w14:textId="77777777" w:rsidR="00BF46B4" w:rsidRPr="00D30BC1" w:rsidRDefault="00BF46B4" w:rsidP="00D30BC1">
            <w:pPr>
              <w:rPr>
                <w:rFonts w:ascii="Arial" w:hAnsi="Arial" w:cs="Arial"/>
                <w:sz w:val="18"/>
                <w:szCs w:val="22"/>
              </w:rPr>
            </w:pPr>
            <w:r w:rsidRPr="00D30BC1">
              <w:rPr>
                <w:rFonts w:ascii="Arial" w:hAnsi="Arial" w:cs="Arial"/>
                <w:sz w:val="18"/>
                <w:szCs w:val="22"/>
              </w:rPr>
              <w:t>2007 - 3.3</w:t>
            </w:r>
          </w:p>
        </w:tc>
        <w:tc>
          <w:tcPr>
            <w:tcW w:w="7198" w:type="dxa"/>
            <w:shd w:val="clear" w:color="auto" w:fill="auto"/>
            <w:tcMar>
              <w:top w:w="15" w:type="dxa"/>
              <w:left w:w="15" w:type="dxa"/>
              <w:bottom w:w="0" w:type="dxa"/>
              <w:right w:w="15" w:type="dxa"/>
            </w:tcMar>
          </w:tcPr>
          <w:p w14:paraId="3AF7782D"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That portion of future production (and thus resources) legally accruing to a lessee or contractor under the terms of the development and production contract with a lessor. </w:t>
            </w:r>
          </w:p>
        </w:tc>
      </w:tr>
      <w:tr w:rsidR="00BF46B4" w:rsidRPr="00D30BC1" w14:paraId="153683BA" w14:textId="77777777" w:rsidTr="00D30BC1">
        <w:trPr>
          <w:trHeight w:val="449"/>
        </w:trPr>
        <w:tc>
          <w:tcPr>
            <w:tcW w:w="1458" w:type="dxa"/>
            <w:gridSpan w:val="3"/>
            <w:shd w:val="clear" w:color="auto" w:fill="auto"/>
            <w:tcMar>
              <w:top w:w="15" w:type="dxa"/>
              <w:left w:w="15" w:type="dxa"/>
              <w:bottom w:w="0" w:type="dxa"/>
              <w:right w:w="15" w:type="dxa"/>
            </w:tcMar>
          </w:tcPr>
          <w:p w14:paraId="608DBFC8" w14:textId="77777777" w:rsidR="00BF46B4" w:rsidRPr="00D30BC1" w:rsidRDefault="00BF46B4" w:rsidP="00D30BC1">
            <w:pPr>
              <w:rPr>
                <w:rFonts w:ascii="Arial" w:hAnsi="Arial" w:cs="Arial"/>
                <w:sz w:val="20"/>
                <w:szCs w:val="22"/>
                <w:lang w:val="nb-NO"/>
              </w:rPr>
            </w:pPr>
            <w:r w:rsidRPr="00D30BC1">
              <w:rPr>
                <w:rFonts w:ascii="Arial" w:hAnsi="Arial" w:cs="Arial"/>
                <w:sz w:val="20"/>
                <w:szCs w:val="22"/>
                <w:lang w:val="nb-NO"/>
              </w:rPr>
              <w:t>Entity</w:t>
            </w:r>
          </w:p>
        </w:tc>
        <w:tc>
          <w:tcPr>
            <w:tcW w:w="1066" w:type="dxa"/>
            <w:shd w:val="clear" w:color="auto" w:fill="auto"/>
          </w:tcPr>
          <w:p w14:paraId="39034947"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w:t>
            </w:r>
            <w:r w:rsidR="005D2213" w:rsidRPr="00D30BC1">
              <w:rPr>
                <w:rFonts w:ascii="Arial" w:hAnsi="Arial" w:cs="Arial"/>
                <w:sz w:val="18"/>
                <w:szCs w:val="22"/>
              </w:rPr>
              <w:t>-</w:t>
            </w:r>
            <w:r w:rsidRPr="00D30BC1">
              <w:rPr>
                <w:rFonts w:ascii="Arial" w:hAnsi="Arial" w:cs="Arial"/>
                <w:sz w:val="18"/>
                <w:szCs w:val="22"/>
              </w:rPr>
              <w:t xml:space="preserve"> 3.0</w:t>
            </w:r>
          </w:p>
        </w:tc>
        <w:tc>
          <w:tcPr>
            <w:tcW w:w="7198" w:type="dxa"/>
            <w:shd w:val="clear" w:color="auto" w:fill="auto"/>
            <w:tcMar>
              <w:top w:w="15" w:type="dxa"/>
              <w:left w:w="15" w:type="dxa"/>
              <w:bottom w:w="0" w:type="dxa"/>
              <w:right w:w="15" w:type="dxa"/>
            </w:tcMar>
          </w:tcPr>
          <w:p w14:paraId="4E1EF8AA"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Entity is a legal construct capable of bearing legal rights and obligations. In resources evaluations this typically refers to the lessee or contractor</w:t>
            </w:r>
            <w:r w:rsidR="005D2213" w:rsidRPr="00D30BC1">
              <w:rPr>
                <w:rFonts w:ascii="Arial" w:hAnsi="Arial" w:cs="Arial"/>
                <w:sz w:val="20"/>
                <w:szCs w:val="22"/>
              </w:rPr>
              <w:t>,</w:t>
            </w:r>
            <w:r w:rsidRPr="00D30BC1">
              <w:rPr>
                <w:rFonts w:ascii="Arial" w:hAnsi="Arial" w:cs="Arial"/>
                <w:sz w:val="20"/>
                <w:szCs w:val="22"/>
              </w:rPr>
              <w:t xml:space="preserve"> which is   some form of legal corporation (or consortium of corporations). In a broader sense, an entity can be an organization of any form and may include governments or their agencies.</w:t>
            </w:r>
          </w:p>
        </w:tc>
      </w:tr>
      <w:tr w:rsidR="00BF46B4" w:rsidRPr="00D30BC1" w14:paraId="44FB9A6D" w14:textId="77777777" w:rsidTr="00D30BC1">
        <w:trPr>
          <w:trHeight w:val="905"/>
        </w:trPr>
        <w:tc>
          <w:tcPr>
            <w:tcW w:w="1458" w:type="dxa"/>
            <w:gridSpan w:val="3"/>
            <w:shd w:val="clear" w:color="auto" w:fill="auto"/>
            <w:tcMar>
              <w:top w:w="15" w:type="dxa"/>
              <w:left w:w="15" w:type="dxa"/>
              <w:bottom w:w="0" w:type="dxa"/>
              <w:right w:w="15" w:type="dxa"/>
            </w:tcMar>
          </w:tcPr>
          <w:p w14:paraId="6768349C"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Estimated Ultimate Recovery (EUR)</w:t>
            </w:r>
          </w:p>
        </w:tc>
        <w:tc>
          <w:tcPr>
            <w:tcW w:w="1066" w:type="dxa"/>
            <w:shd w:val="clear" w:color="auto" w:fill="auto"/>
          </w:tcPr>
          <w:p w14:paraId="23B72DCC"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2007 - 1.1</w:t>
            </w:r>
          </w:p>
        </w:tc>
        <w:tc>
          <w:tcPr>
            <w:tcW w:w="7198" w:type="dxa"/>
            <w:shd w:val="clear" w:color="auto" w:fill="auto"/>
            <w:tcMar>
              <w:top w:w="15" w:type="dxa"/>
              <w:left w:w="15" w:type="dxa"/>
              <w:bottom w:w="0" w:type="dxa"/>
              <w:right w:w="15" w:type="dxa"/>
            </w:tcMar>
          </w:tcPr>
          <w:p w14:paraId="4564BEE1" w14:textId="77777777" w:rsidR="00BF46B4" w:rsidRPr="00D30BC1" w:rsidRDefault="00EE4E0E" w:rsidP="00EE4E0E">
            <w:pPr>
              <w:rPr>
                <w:rFonts w:ascii="Arial" w:eastAsia="Arial Unicode MS" w:hAnsi="Arial" w:cs="Arial"/>
                <w:sz w:val="20"/>
                <w:szCs w:val="22"/>
              </w:rPr>
            </w:pPr>
            <w:r w:rsidRPr="00D30BC1">
              <w:rPr>
                <w:rFonts w:ascii="Arial" w:eastAsia="Arial Unicode MS" w:hAnsi="Arial" w:cs="Arial"/>
                <w:sz w:val="20"/>
                <w:szCs w:val="22"/>
              </w:rPr>
              <w:t>Those quantities of petroleum which are estimated, on a given date, to be potentially recoverable from an accumulation, plus those quantities already produced therefrom.</w:t>
            </w:r>
          </w:p>
        </w:tc>
      </w:tr>
      <w:tr w:rsidR="00BF46B4" w:rsidRPr="00D30BC1" w14:paraId="4417928C" w14:textId="77777777" w:rsidTr="00D30BC1">
        <w:trPr>
          <w:trHeight w:val="55"/>
        </w:trPr>
        <w:tc>
          <w:tcPr>
            <w:tcW w:w="1458" w:type="dxa"/>
            <w:gridSpan w:val="3"/>
            <w:shd w:val="clear" w:color="auto" w:fill="auto"/>
            <w:tcMar>
              <w:top w:w="15" w:type="dxa"/>
              <w:left w:w="15" w:type="dxa"/>
              <w:bottom w:w="0" w:type="dxa"/>
              <w:right w:w="15" w:type="dxa"/>
            </w:tcMar>
          </w:tcPr>
          <w:p w14:paraId="03601587" w14:textId="77777777" w:rsidR="00BF46B4" w:rsidRPr="00D30BC1" w:rsidRDefault="00BF46B4" w:rsidP="00D30BC1">
            <w:pPr>
              <w:rPr>
                <w:rFonts w:ascii="Arial" w:hAnsi="Arial" w:cs="Arial"/>
                <w:sz w:val="20"/>
                <w:szCs w:val="22"/>
              </w:rPr>
            </w:pPr>
            <w:r w:rsidRPr="00D30BC1">
              <w:rPr>
                <w:rFonts w:ascii="Arial" w:hAnsi="Arial" w:cs="Arial"/>
                <w:sz w:val="20"/>
                <w:szCs w:val="22"/>
              </w:rPr>
              <w:t>Evaluation</w:t>
            </w:r>
          </w:p>
        </w:tc>
        <w:tc>
          <w:tcPr>
            <w:tcW w:w="1066" w:type="dxa"/>
            <w:shd w:val="clear" w:color="auto" w:fill="auto"/>
          </w:tcPr>
          <w:p w14:paraId="18268BED" w14:textId="77777777" w:rsidR="00BF46B4" w:rsidRPr="00D30BC1" w:rsidRDefault="00BF46B4" w:rsidP="00D30BC1">
            <w:pPr>
              <w:rPr>
                <w:rFonts w:ascii="Arial" w:hAnsi="Arial" w:cs="Arial"/>
                <w:sz w:val="18"/>
                <w:szCs w:val="22"/>
              </w:rPr>
            </w:pPr>
            <w:r w:rsidRPr="00D30BC1">
              <w:rPr>
                <w:rFonts w:ascii="Arial" w:hAnsi="Arial" w:cs="Arial"/>
                <w:sz w:val="18"/>
                <w:szCs w:val="22"/>
              </w:rPr>
              <w:t>2007- 3.0</w:t>
            </w:r>
          </w:p>
        </w:tc>
        <w:tc>
          <w:tcPr>
            <w:tcW w:w="7198" w:type="dxa"/>
            <w:shd w:val="clear" w:color="auto" w:fill="auto"/>
            <w:tcMar>
              <w:top w:w="15" w:type="dxa"/>
              <w:left w:w="15" w:type="dxa"/>
              <w:bottom w:w="0" w:type="dxa"/>
              <w:right w:w="15" w:type="dxa"/>
            </w:tcMar>
          </w:tcPr>
          <w:p w14:paraId="19D2B933"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The geosciences, engineering, and associated studies, including economic analyses, conducted on a petroleum exploration, development</w:t>
            </w:r>
            <w:r w:rsidR="000815AC" w:rsidRPr="00D30BC1">
              <w:rPr>
                <w:rFonts w:ascii="Arial" w:hAnsi="Arial" w:cs="Arial"/>
                <w:sz w:val="20"/>
                <w:szCs w:val="22"/>
              </w:rPr>
              <w:t>,</w:t>
            </w:r>
            <w:r w:rsidRPr="00D30BC1">
              <w:rPr>
                <w:rFonts w:ascii="Arial" w:hAnsi="Arial" w:cs="Arial"/>
                <w:sz w:val="20"/>
                <w:szCs w:val="22"/>
              </w:rPr>
              <w:t xml:space="preserve"> or producing project resulting in estimates of the quantities that can be recovered and sold and the associated cash flow under defined forward conditions. Projects are classified and estimates of derived quantities are categorized according to applicable guidelines. (Also termed Assessment</w:t>
            </w:r>
            <w:r w:rsidR="000815AC" w:rsidRPr="00D30BC1">
              <w:rPr>
                <w:rFonts w:ascii="Arial" w:hAnsi="Arial" w:cs="Arial"/>
                <w:sz w:val="20"/>
                <w:szCs w:val="22"/>
              </w:rPr>
              <w:t>.</w:t>
            </w:r>
            <w:r w:rsidRPr="00D30BC1">
              <w:rPr>
                <w:rFonts w:ascii="Arial" w:hAnsi="Arial" w:cs="Arial"/>
                <w:sz w:val="20"/>
                <w:szCs w:val="22"/>
              </w:rPr>
              <w:t>)</w:t>
            </w:r>
          </w:p>
        </w:tc>
      </w:tr>
    </w:tbl>
    <w:p w14:paraId="575DE777" w14:textId="77777777" w:rsidR="00636CB4" w:rsidRPr="00D30BC1" w:rsidRDefault="00636CB4" w:rsidP="00D30BC1">
      <w:r w:rsidRPr="00D30BC1">
        <w:br w:type="page"/>
      </w:r>
    </w:p>
    <w:tbl>
      <w:tblPr>
        <w:tblW w:w="972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4"/>
        <w:gridCol w:w="13"/>
        <w:gridCol w:w="1066"/>
        <w:gridCol w:w="7199"/>
      </w:tblGrid>
      <w:tr w:rsidR="00BF46B4" w:rsidRPr="00D30BC1" w14:paraId="163528C7" w14:textId="77777777" w:rsidTr="00E34576">
        <w:trPr>
          <w:trHeight w:val="55"/>
        </w:trPr>
        <w:tc>
          <w:tcPr>
            <w:tcW w:w="1457" w:type="dxa"/>
            <w:gridSpan w:val="2"/>
            <w:tcMar>
              <w:top w:w="15" w:type="dxa"/>
              <w:left w:w="15" w:type="dxa"/>
              <w:bottom w:w="0" w:type="dxa"/>
              <w:right w:w="15" w:type="dxa"/>
            </w:tcMar>
          </w:tcPr>
          <w:p w14:paraId="48859B91" w14:textId="77777777" w:rsidR="00BF46B4" w:rsidRPr="00D30BC1" w:rsidRDefault="00BF46B4" w:rsidP="00D30BC1">
            <w:pPr>
              <w:rPr>
                <w:rFonts w:ascii="Arial" w:hAnsi="Arial" w:cs="Arial"/>
                <w:sz w:val="20"/>
                <w:szCs w:val="22"/>
              </w:rPr>
            </w:pPr>
            <w:r w:rsidRPr="00D30BC1">
              <w:rPr>
                <w:rFonts w:ascii="Arial" w:hAnsi="Arial" w:cs="Arial"/>
                <w:sz w:val="20"/>
                <w:szCs w:val="22"/>
              </w:rPr>
              <w:t>Evaluator</w:t>
            </w:r>
          </w:p>
        </w:tc>
        <w:tc>
          <w:tcPr>
            <w:tcW w:w="1066" w:type="dxa"/>
          </w:tcPr>
          <w:p w14:paraId="48ADF3A0"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w:t>
            </w:r>
            <w:r w:rsidR="000815AC" w:rsidRPr="00D30BC1">
              <w:rPr>
                <w:rFonts w:ascii="Arial" w:hAnsi="Arial" w:cs="Arial"/>
                <w:sz w:val="18"/>
                <w:szCs w:val="22"/>
              </w:rPr>
              <w:t>-</w:t>
            </w:r>
            <w:r w:rsidRPr="00D30BC1">
              <w:rPr>
                <w:rFonts w:ascii="Arial" w:hAnsi="Arial" w:cs="Arial"/>
                <w:sz w:val="18"/>
                <w:szCs w:val="22"/>
              </w:rPr>
              <w:t xml:space="preserve"> 1.2,</w:t>
            </w:r>
          </w:p>
          <w:p w14:paraId="546814D2" w14:textId="77777777" w:rsidR="00BF46B4" w:rsidRPr="00D30BC1" w:rsidRDefault="00BF46B4" w:rsidP="00D30BC1">
            <w:pPr>
              <w:rPr>
                <w:rFonts w:ascii="Arial" w:hAnsi="Arial" w:cs="Arial"/>
                <w:sz w:val="18"/>
                <w:szCs w:val="22"/>
              </w:rPr>
            </w:pPr>
            <w:r w:rsidRPr="00D30BC1">
              <w:rPr>
                <w:rFonts w:ascii="Arial" w:hAnsi="Arial" w:cs="Arial"/>
                <w:sz w:val="18"/>
                <w:szCs w:val="22"/>
              </w:rPr>
              <w:t>2.1.2</w:t>
            </w:r>
          </w:p>
        </w:tc>
        <w:tc>
          <w:tcPr>
            <w:tcW w:w="7199" w:type="dxa"/>
            <w:tcMar>
              <w:top w:w="15" w:type="dxa"/>
              <w:left w:w="15" w:type="dxa"/>
              <w:bottom w:w="0" w:type="dxa"/>
              <w:right w:w="15" w:type="dxa"/>
            </w:tcMar>
          </w:tcPr>
          <w:p w14:paraId="37F39202"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The person or group of persons responsible for performing an evaluation of a project. These may be employees of the entities that have an economic interest   in the project or independent consultants contracted for reviews and audits. In all cases</w:t>
            </w:r>
            <w:r w:rsidR="000815AC" w:rsidRPr="00D30BC1">
              <w:rPr>
                <w:rFonts w:ascii="Arial" w:hAnsi="Arial" w:cs="Arial"/>
                <w:sz w:val="20"/>
                <w:szCs w:val="22"/>
              </w:rPr>
              <w:t>,</w:t>
            </w:r>
            <w:r w:rsidRPr="00D30BC1">
              <w:rPr>
                <w:rFonts w:ascii="Arial" w:hAnsi="Arial" w:cs="Arial"/>
                <w:sz w:val="20"/>
                <w:szCs w:val="22"/>
              </w:rPr>
              <w:t xml:space="preserve"> the entity accepting the evaluation takes responsibility for the results, including Reserves and Resources and attributed value estimates. </w:t>
            </w:r>
          </w:p>
        </w:tc>
      </w:tr>
      <w:tr w:rsidR="00BF46B4" w:rsidRPr="00D30BC1" w14:paraId="6993CDB3" w14:textId="77777777" w:rsidTr="00E34576">
        <w:trPr>
          <w:trHeight w:val="55"/>
        </w:trPr>
        <w:tc>
          <w:tcPr>
            <w:tcW w:w="1457" w:type="dxa"/>
            <w:gridSpan w:val="2"/>
            <w:tcMar>
              <w:top w:w="15" w:type="dxa"/>
              <w:left w:w="15" w:type="dxa"/>
              <w:bottom w:w="0" w:type="dxa"/>
              <w:right w:w="15" w:type="dxa"/>
            </w:tcMar>
          </w:tcPr>
          <w:p w14:paraId="106A09CD"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Exploration</w:t>
            </w:r>
          </w:p>
        </w:tc>
        <w:tc>
          <w:tcPr>
            <w:tcW w:w="1066" w:type="dxa"/>
          </w:tcPr>
          <w:p w14:paraId="4F06B718" w14:textId="77777777" w:rsidR="00BF46B4" w:rsidRPr="00D30BC1" w:rsidRDefault="00BF46B4" w:rsidP="00D30BC1">
            <w:pPr>
              <w:rPr>
                <w:rFonts w:ascii="Arial" w:hAnsi="Arial" w:cs="Arial"/>
                <w:sz w:val="18"/>
                <w:szCs w:val="22"/>
              </w:rPr>
            </w:pPr>
          </w:p>
        </w:tc>
        <w:tc>
          <w:tcPr>
            <w:tcW w:w="7199" w:type="dxa"/>
            <w:tcMar>
              <w:top w:w="15" w:type="dxa"/>
              <w:left w:w="15" w:type="dxa"/>
              <w:bottom w:w="0" w:type="dxa"/>
              <w:right w:w="15" w:type="dxa"/>
            </w:tcMar>
          </w:tcPr>
          <w:p w14:paraId="4FAAE158"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Prospecting for undiscovered petroleum.</w:t>
            </w:r>
          </w:p>
        </w:tc>
      </w:tr>
      <w:tr w:rsidR="00BF46B4" w:rsidRPr="00D30BC1" w14:paraId="52244CA4" w14:textId="77777777" w:rsidTr="00E34576">
        <w:trPr>
          <w:trHeight w:val="1348"/>
        </w:trPr>
        <w:tc>
          <w:tcPr>
            <w:tcW w:w="1457" w:type="dxa"/>
            <w:gridSpan w:val="2"/>
            <w:tcMar>
              <w:top w:w="15" w:type="dxa"/>
              <w:left w:w="15" w:type="dxa"/>
              <w:bottom w:w="0" w:type="dxa"/>
              <w:right w:w="15" w:type="dxa"/>
            </w:tcMar>
          </w:tcPr>
          <w:p w14:paraId="664738F9"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Field</w:t>
            </w:r>
          </w:p>
        </w:tc>
        <w:tc>
          <w:tcPr>
            <w:tcW w:w="1066" w:type="dxa"/>
          </w:tcPr>
          <w:p w14:paraId="55618657" w14:textId="77777777" w:rsidR="00BF46B4" w:rsidRPr="00D30BC1" w:rsidRDefault="00BF46B4" w:rsidP="00D30BC1">
            <w:pPr>
              <w:rPr>
                <w:rFonts w:ascii="Arial" w:hAnsi="Arial" w:cs="Arial"/>
                <w:sz w:val="18"/>
                <w:szCs w:val="22"/>
              </w:rPr>
            </w:pPr>
            <w:r w:rsidRPr="00D30BC1">
              <w:rPr>
                <w:rFonts w:ascii="Arial" w:hAnsi="Arial" w:cs="Arial"/>
                <w:sz w:val="18"/>
                <w:szCs w:val="22"/>
              </w:rPr>
              <w:t>2001 - 2.3</w:t>
            </w:r>
          </w:p>
        </w:tc>
        <w:tc>
          <w:tcPr>
            <w:tcW w:w="7199" w:type="dxa"/>
            <w:tcMar>
              <w:top w:w="15" w:type="dxa"/>
              <w:left w:w="15" w:type="dxa"/>
              <w:bottom w:w="0" w:type="dxa"/>
              <w:right w:w="15" w:type="dxa"/>
            </w:tcMar>
          </w:tcPr>
          <w:p w14:paraId="196BA84D"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An area consisting of a single reservoir or multiple reservoirs all grouped on, or related to, the same individual geological structural feature and/or stratigraphic condition. There may be two or more reservoirs in a field that are separated vertically by intervening impermeable rock, laterally by local geologic barriers, or both</w:t>
            </w:r>
            <w:r w:rsidR="000815AC" w:rsidRPr="00D30BC1">
              <w:rPr>
                <w:rFonts w:ascii="Arial" w:hAnsi="Arial" w:cs="Arial"/>
                <w:sz w:val="20"/>
                <w:szCs w:val="22"/>
              </w:rPr>
              <w:t>.</w:t>
            </w:r>
            <w:r w:rsidRPr="00D30BC1">
              <w:rPr>
                <w:rFonts w:ascii="Arial" w:hAnsi="Arial" w:cs="Arial"/>
                <w:sz w:val="20"/>
                <w:szCs w:val="22"/>
              </w:rPr>
              <w:t xml:space="preserve"> The term may be defined differently by individual regulatory authorities.</w:t>
            </w:r>
          </w:p>
        </w:tc>
      </w:tr>
      <w:tr w:rsidR="00BF46B4" w:rsidRPr="00D30BC1" w14:paraId="1973CB7E" w14:textId="77777777" w:rsidTr="00E34576">
        <w:trPr>
          <w:trHeight w:val="255"/>
        </w:trPr>
        <w:tc>
          <w:tcPr>
            <w:tcW w:w="1457" w:type="dxa"/>
            <w:gridSpan w:val="2"/>
            <w:tcMar>
              <w:top w:w="15" w:type="dxa"/>
              <w:left w:w="15" w:type="dxa"/>
              <w:bottom w:w="0" w:type="dxa"/>
              <w:right w:w="15" w:type="dxa"/>
            </w:tcMar>
          </w:tcPr>
          <w:p w14:paraId="559D1208"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Flare Gas</w:t>
            </w:r>
          </w:p>
        </w:tc>
        <w:tc>
          <w:tcPr>
            <w:tcW w:w="1066" w:type="dxa"/>
          </w:tcPr>
          <w:p w14:paraId="05C9B0AD" w14:textId="77777777" w:rsidR="00BF46B4" w:rsidRPr="00D30BC1" w:rsidRDefault="00BF46B4" w:rsidP="00D30BC1">
            <w:pPr>
              <w:rPr>
                <w:rFonts w:ascii="Arial" w:hAnsi="Arial" w:cs="Arial"/>
                <w:sz w:val="18"/>
                <w:szCs w:val="22"/>
              </w:rPr>
            </w:pPr>
            <w:r w:rsidRPr="00D30BC1">
              <w:rPr>
                <w:rFonts w:ascii="Arial" w:hAnsi="Arial" w:cs="Arial"/>
                <w:sz w:val="18"/>
                <w:szCs w:val="22"/>
              </w:rPr>
              <w:t>2007 - 3.2.2</w:t>
            </w:r>
          </w:p>
          <w:p w14:paraId="258B8250" w14:textId="77777777" w:rsidR="00BF46B4" w:rsidRPr="00D30BC1" w:rsidRDefault="00BF46B4" w:rsidP="00D30BC1">
            <w:pPr>
              <w:rPr>
                <w:rFonts w:ascii="Arial" w:hAnsi="Arial" w:cs="Arial"/>
                <w:sz w:val="18"/>
                <w:szCs w:val="22"/>
              </w:rPr>
            </w:pPr>
            <w:r w:rsidRPr="00D30BC1">
              <w:rPr>
                <w:rFonts w:ascii="Arial" w:hAnsi="Arial" w:cs="Arial"/>
                <w:sz w:val="18"/>
                <w:szCs w:val="22"/>
              </w:rPr>
              <w:t>2001 - 3.1</w:t>
            </w:r>
          </w:p>
        </w:tc>
        <w:tc>
          <w:tcPr>
            <w:tcW w:w="7199" w:type="dxa"/>
            <w:tcMar>
              <w:top w:w="15" w:type="dxa"/>
              <w:left w:w="15" w:type="dxa"/>
              <w:bottom w:w="0" w:type="dxa"/>
              <w:right w:w="15" w:type="dxa"/>
            </w:tcMar>
          </w:tcPr>
          <w:p w14:paraId="74130A01"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Total volume of gas vented or burned as part of production and processing operations.</w:t>
            </w:r>
          </w:p>
        </w:tc>
      </w:tr>
      <w:tr w:rsidR="00BF46B4" w:rsidRPr="00D30BC1" w14:paraId="7946D3DF" w14:textId="77777777" w:rsidTr="00E34576">
        <w:trPr>
          <w:trHeight w:val="449"/>
        </w:trPr>
        <w:tc>
          <w:tcPr>
            <w:tcW w:w="1457" w:type="dxa"/>
            <w:gridSpan w:val="2"/>
            <w:tcMar>
              <w:top w:w="15" w:type="dxa"/>
              <w:left w:w="15" w:type="dxa"/>
              <w:bottom w:w="0" w:type="dxa"/>
              <w:right w:w="15" w:type="dxa"/>
            </w:tcMar>
          </w:tcPr>
          <w:p w14:paraId="0A524F75"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Flow Test</w:t>
            </w:r>
          </w:p>
        </w:tc>
        <w:tc>
          <w:tcPr>
            <w:tcW w:w="1066" w:type="dxa"/>
          </w:tcPr>
          <w:p w14:paraId="12BEF534"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2007 - 2.1.1</w:t>
            </w:r>
          </w:p>
        </w:tc>
        <w:tc>
          <w:tcPr>
            <w:tcW w:w="7199" w:type="dxa"/>
            <w:tcMar>
              <w:top w:w="15" w:type="dxa"/>
              <w:left w:w="15" w:type="dxa"/>
              <w:bottom w:w="0" w:type="dxa"/>
              <w:right w:w="15" w:type="dxa"/>
            </w:tcMar>
          </w:tcPr>
          <w:p w14:paraId="42D17A1F"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An operation on a well designed to demonstrate the existence of moveable petroleum in a reservoir by establishing flow to the surface and/or to provide an indication of the potential productivity of that reservoir (such as a wireline formation test).</w:t>
            </w:r>
          </w:p>
        </w:tc>
      </w:tr>
      <w:tr w:rsidR="00BF46B4" w:rsidRPr="00D30BC1" w14:paraId="250C0578" w14:textId="77777777" w:rsidTr="00E34576">
        <w:trPr>
          <w:trHeight w:val="1004"/>
        </w:trPr>
        <w:tc>
          <w:tcPr>
            <w:tcW w:w="1457" w:type="dxa"/>
            <w:gridSpan w:val="2"/>
            <w:tcMar>
              <w:top w:w="15" w:type="dxa"/>
              <w:left w:w="15" w:type="dxa"/>
              <w:bottom w:w="0" w:type="dxa"/>
              <w:right w:w="15" w:type="dxa"/>
            </w:tcMar>
          </w:tcPr>
          <w:p w14:paraId="2D3AFF55"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Fluid Contacts</w:t>
            </w:r>
          </w:p>
        </w:tc>
        <w:tc>
          <w:tcPr>
            <w:tcW w:w="1066" w:type="dxa"/>
          </w:tcPr>
          <w:p w14:paraId="4B623A51"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2007 - 2.2.2</w:t>
            </w:r>
          </w:p>
        </w:tc>
        <w:tc>
          <w:tcPr>
            <w:tcW w:w="7199" w:type="dxa"/>
            <w:tcMar>
              <w:top w:w="15" w:type="dxa"/>
              <w:left w:w="15" w:type="dxa"/>
              <w:bottom w:w="0" w:type="dxa"/>
              <w:right w:w="15" w:type="dxa"/>
            </w:tcMar>
          </w:tcPr>
          <w:p w14:paraId="1264187C"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 xml:space="preserve">The surface or interface in a reservoir separating two regions characterized by predominant differences in fluid saturations. Because of capillary and other phenomena, fluid saturation change is not necessarily abrupt or complete, nor is the surface necessarily horizontal. </w:t>
            </w:r>
          </w:p>
        </w:tc>
      </w:tr>
      <w:tr w:rsidR="00BF46B4" w:rsidRPr="00D30BC1" w14:paraId="4C8E2C73" w14:textId="77777777" w:rsidTr="00E34576">
        <w:trPr>
          <w:trHeight w:val="674"/>
        </w:trPr>
        <w:tc>
          <w:tcPr>
            <w:tcW w:w="1457" w:type="dxa"/>
            <w:gridSpan w:val="2"/>
            <w:tcMar>
              <w:top w:w="15" w:type="dxa"/>
              <w:left w:w="15" w:type="dxa"/>
              <w:bottom w:w="0" w:type="dxa"/>
              <w:right w:w="15" w:type="dxa"/>
            </w:tcMar>
          </w:tcPr>
          <w:p w14:paraId="593A9DD1" w14:textId="77777777" w:rsidR="00BF46B4" w:rsidRPr="00D30BC1" w:rsidRDefault="00BF46B4" w:rsidP="00D30BC1">
            <w:pPr>
              <w:rPr>
                <w:rFonts w:ascii="Arial" w:hAnsi="Arial" w:cs="Arial"/>
                <w:sz w:val="20"/>
                <w:szCs w:val="22"/>
              </w:rPr>
            </w:pPr>
            <w:r w:rsidRPr="00D30BC1">
              <w:rPr>
                <w:rFonts w:ascii="Arial" w:hAnsi="Arial" w:cs="Arial"/>
                <w:sz w:val="20"/>
                <w:szCs w:val="22"/>
              </w:rPr>
              <w:t>Forecast Case</w:t>
            </w:r>
          </w:p>
        </w:tc>
        <w:tc>
          <w:tcPr>
            <w:tcW w:w="1066" w:type="dxa"/>
          </w:tcPr>
          <w:p w14:paraId="38C530DF" w14:textId="77777777" w:rsidR="00BF46B4" w:rsidRPr="00D30BC1" w:rsidRDefault="00BF46B4" w:rsidP="00D30BC1">
            <w:pPr>
              <w:rPr>
                <w:rFonts w:ascii="Arial" w:hAnsi="Arial" w:cs="Arial"/>
                <w:sz w:val="18"/>
                <w:szCs w:val="22"/>
              </w:rPr>
            </w:pPr>
            <w:r w:rsidRPr="00D30BC1">
              <w:rPr>
                <w:rFonts w:ascii="Arial" w:hAnsi="Arial" w:cs="Arial"/>
                <w:sz w:val="18"/>
                <w:szCs w:val="22"/>
              </w:rPr>
              <w:t>2007</w:t>
            </w:r>
            <w:r w:rsidR="00D7649E" w:rsidRPr="00D30BC1">
              <w:rPr>
                <w:rFonts w:ascii="Arial" w:hAnsi="Arial" w:cs="Arial"/>
                <w:sz w:val="18"/>
                <w:szCs w:val="22"/>
              </w:rPr>
              <w:t xml:space="preserve"> </w:t>
            </w:r>
            <w:r w:rsidRPr="00D30BC1">
              <w:rPr>
                <w:rFonts w:ascii="Arial" w:hAnsi="Arial" w:cs="Arial"/>
                <w:sz w:val="18"/>
                <w:szCs w:val="22"/>
              </w:rPr>
              <w:t>- 3.1.1</w:t>
            </w:r>
          </w:p>
        </w:tc>
        <w:tc>
          <w:tcPr>
            <w:tcW w:w="7199" w:type="dxa"/>
            <w:tcMar>
              <w:top w:w="15" w:type="dxa"/>
              <w:left w:w="15" w:type="dxa"/>
              <w:bottom w:w="0" w:type="dxa"/>
              <w:right w:w="15" w:type="dxa"/>
            </w:tcMar>
          </w:tcPr>
          <w:p w14:paraId="7FF09B99"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Modifier applied to project resources estimates and associated cash flow when such estimates are based on those conditions (including costs and product price schedules) forecast by the evaluator to reasonably exist throughout the life of the project. Inflation or deflation adjustments are made to costs and revenues over the evaluation period.</w:t>
            </w:r>
          </w:p>
        </w:tc>
      </w:tr>
      <w:tr w:rsidR="00BF46B4" w:rsidRPr="00D30BC1" w14:paraId="0EDDB78F" w14:textId="77777777" w:rsidTr="00E34576">
        <w:trPr>
          <w:trHeight w:val="674"/>
        </w:trPr>
        <w:tc>
          <w:tcPr>
            <w:tcW w:w="1457" w:type="dxa"/>
            <w:gridSpan w:val="2"/>
            <w:tcMar>
              <w:top w:w="15" w:type="dxa"/>
              <w:left w:w="15" w:type="dxa"/>
              <w:bottom w:w="0" w:type="dxa"/>
              <w:right w:w="15" w:type="dxa"/>
            </w:tcMar>
          </w:tcPr>
          <w:p w14:paraId="054C18F7"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Forward Sales</w:t>
            </w:r>
          </w:p>
        </w:tc>
        <w:tc>
          <w:tcPr>
            <w:tcW w:w="1066" w:type="dxa"/>
          </w:tcPr>
          <w:p w14:paraId="53665F65" w14:textId="77777777" w:rsidR="00BF46B4" w:rsidRPr="00D30BC1" w:rsidRDefault="00BF46B4" w:rsidP="00D30BC1">
            <w:pPr>
              <w:rPr>
                <w:rFonts w:ascii="Arial" w:hAnsi="Arial" w:cs="Arial"/>
                <w:sz w:val="18"/>
                <w:szCs w:val="22"/>
              </w:rPr>
            </w:pPr>
            <w:r w:rsidRPr="00D30BC1">
              <w:rPr>
                <w:rFonts w:ascii="Arial" w:hAnsi="Arial" w:cs="Arial"/>
                <w:sz w:val="18"/>
                <w:szCs w:val="22"/>
              </w:rPr>
              <w:t>2001 - 9.6.6</w:t>
            </w:r>
          </w:p>
        </w:tc>
        <w:tc>
          <w:tcPr>
            <w:tcW w:w="7199" w:type="dxa"/>
            <w:tcMar>
              <w:top w:w="15" w:type="dxa"/>
              <w:left w:w="15" w:type="dxa"/>
              <w:bottom w:w="0" w:type="dxa"/>
              <w:right w:w="15" w:type="dxa"/>
            </w:tcMar>
          </w:tcPr>
          <w:p w14:paraId="19669137"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There are a variety of forms of transactions that involve the advance of funds to the owner of an interest in an oil and gas property in exchange for the right to receive the cash proceeds of production, or the production itself, arising from the future operation of the property. In such transactions, the owner almost invariably has a future performance obligation, the outcome of which is uncertain to some degree. Determination as to whether the transaction represents a sale or financing rests on the particular circumstances of each case.</w:t>
            </w:r>
          </w:p>
        </w:tc>
      </w:tr>
      <w:tr w:rsidR="00BF46B4" w:rsidRPr="00D30BC1" w14:paraId="1B9D93E9" w14:textId="77777777" w:rsidTr="00E34576">
        <w:trPr>
          <w:trHeight w:val="348"/>
        </w:trPr>
        <w:tc>
          <w:tcPr>
            <w:tcW w:w="1444" w:type="dxa"/>
            <w:tcMar>
              <w:top w:w="15" w:type="dxa"/>
              <w:left w:w="15" w:type="dxa"/>
              <w:bottom w:w="0" w:type="dxa"/>
              <w:right w:w="15" w:type="dxa"/>
            </w:tcMar>
          </w:tcPr>
          <w:p w14:paraId="6AD7B4D9"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Fuel Gas</w:t>
            </w:r>
          </w:p>
        </w:tc>
        <w:tc>
          <w:tcPr>
            <w:tcW w:w="1079" w:type="dxa"/>
            <w:gridSpan w:val="2"/>
          </w:tcPr>
          <w:p w14:paraId="7041E91B" w14:textId="77777777" w:rsidR="00BF46B4" w:rsidRPr="00D30BC1" w:rsidRDefault="00BF46B4" w:rsidP="00D30BC1">
            <w:pPr>
              <w:rPr>
                <w:rFonts w:ascii="Arial" w:hAnsi="Arial" w:cs="Arial"/>
                <w:sz w:val="18"/>
                <w:szCs w:val="22"/>
              </w:rPr>
            </w:pPr>
            <w:r w:rsidRPr="00D30BC1">
              <w:rPr>
                <w:rFonts w:ascii="Arial" w:hAnsi="Arial" w:cs="Arial"/>
                <w:sz w:val="18"/>
                <w:szCs w:val="22"/>
              </w:rPr>
              <w:t>2007 - 3.2.2</w:t>
            </w:r>
          </w:p>
        </w:tc>
        <w:tc>
          <w:tcPr>
            <w:tcW w:w="7199" w:type="dxa"/>
            <w:tcMar>
              <w:top w:w="15" w:type="dxa"/>
              <w:left w:w="15" w:type="dxa"/>
              <w:bottom w:w="0" w:type="dxa"/>
              <w:right w:w="15" w:type="dxa"/>
            </w:tcMar>
          </w:tcPr>
          <w:p w14:paraId="2B98AFD0"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See Lease Fuel</w:t>
            </w:r>
            <w:r w:rsidR="00D7649E" w:rsidRPr="00D30BC1">
              <w:rPr>
                <w:rFonts w:ascii="Arial" w:hAnsi="Arial" w:cs="Arial"/>
                <w:sz w:val="20"/>
                <w:szCs w:val="22"/>
              </w:rPr>
              <w:t>.</w:t>
            </w:r>
          </w:p>
        </w:tc>
      </w:tr>
      <w:tr w:rsidR="00BF46B4" w:rsidRPr="00D30BC1" w14:paraId="6F3801F9" w14:textId="77777777" w:rsidTr="00E34576">
        <w:trPr>
          <w:trHeight w:val="257"/>
        </w:trPr>
        <w:tc>
          <w:tcPr>
            <w:tcW w:w="1444" w:type="dxa"/>
            <w:tcMar>
              <w:top w:w="15" w:type="dxa"/>
              <w:left w:w="15" w:type="dxa"/>
              <w:bottom w:w="0" w:type="dxa"/>
              <w:right w:w="15" w:type="dxa"/>
            </w:tcMar>
          </w:tcPr>
          <w:p w14:paraId="074000DA"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Gas Balance</w:t>
            </w:r>
          </w:p>
        </w:tc>
        <w:tc>
          <w:tcPr>
            <w:tcW w:w="1079" w:type="dxa"/>
            <w:gridSpan w:val="2"/>
          </w:tcPr>
          <w:p w14:paraId="3D6D6F4E" w14:textId="77777777" w:rsidR="00BF46B4" w:rsidRPr="00D30BC1" w:rsidRDefault="00BF46B4" w:rsidP="00D30BC1">
            <w:pPr>
              <w:pStyle w:val="BodyText2"/>
              <w:jc w:val="left"/>
              <w:rPr>
                <w:b w:val="0"/>
                <w:bCs w:val="0"/>
                <w:color w:val="auto"/>
                <w:sz w:val="18"/>
              </w:rPr>
            </w:pPr>
            <w:r w:rsidRPr="00D30BC1">
              <w:rPr>
                <w:b w:val="0"/>
                <w:bCs w:val="0"/>
                <w:color w:val="auto"/>
                <w:sz w:val="18"/>
              </w:rPr>
              <w:t>2007 - 3.2.7</w:t>
            </w:r>
          </w:p>
          <w:p w14:paraId="2A53E173" w14:textId="77777777" w:rsidR="00BF46B4" w:rsidRPr="00D30BC1" w:rsidRDefault="00BF46B4" w:rsidP="00D30BC1">
            <w:pPr>
              <w:pStyle w:val="BodyText2"/>
              <w:jc w:val="left"/>
              <w:rPr>
                <w:b w:val="0"/>
                <w:bCs w:val="0"/>
                <w:color w:val="auto"/>
                <w:sz w:val="18"/>
              </w:rPr>
            </w:pPr>
            <w:r w:rsidRPr="00D30BC1">
              <w:rPr>
                <w:b w:val="0"/>
                <w:bCs w:val="0"/>
                <w:color w:val="auto"/>
                <w:sz w:val="18"/>
              </w:rPr>
              <w:t>2001 - 3.10</w:t>
            </w:r>
          </w:p>
        </w:tc>
        <w:tc>
          <w:tcPr>
            <w:tcW w:w="7199" w:type="dxa"/>
            <w:tcMar>
              <w:top w:w="15" w:type="dxa"/>
              <w:left w:w="15" w:type="dxa"/>
              <w:bottom w:w="0" w:type="dxa"/>
              <w:right w:w="15" w:type="dxa"/>
            </w:tcMar>
          </w:tcPr>
          <w:p w14:paraId="6EFCB1A5" w14:textId="77777777" w:rsidR="00BF46B4" w:rsidRPr="00D30BC1" w:rsidRDefault="00BF46B4" w:rsidP="00D30BC1">
            <w:pPr>
              <w:spacing w:after="120"/>
              <w:rPr>
                <w:rFonts w:ascii="Arial" w:eastAsia="Arial Unicode MS" w:hAnsi="Arial" w:cs="Arial"/>
                <w:sz w:val="20"/>
                <w:szCs w:val="20"/>
              </w:rPr>
            </w:pPr>
            <w:r w:rsidRPr="00D30BC1">
              <w:rPr>
                <w:rFonts w:ascii="Arial" w:hAnsi="Arial" w:cs="Arial"/>
                <w:sz w:val="20"/>
                <w:szCs w:val="20"/>
              </w:rPr>
              <w:t>In gas production operations involving multiple working interest owners, an imbalance in gas deliveries can occur. These imbalances must be monitored over time and eventually balanced in accordance with accepted accounting procedures.</w:t>
            </w:r>
          </w:p>
        </w:tc>
      </w:tr>
    </w:tbl>
    <w:p w14:paraId="52B09130" w14:textId="77777777" w:rsidR="00E34576" w:rsidRPr="00D30BC1" w:rsidRDefault="00E34576" w:rsidP="00D30BC1">
      <w:r w:rsidRPr="00D30BC1">
        <w:br w:type="page"/>
      </w:r>
    </w:p>
    <w:tbl>
      <w:tblPr>
        <w:tblW w:w="972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4"/>
        <w:gridCol w:w="1079"/>
        <w:gridCol w:w="7199"/>
      </w:tblGrid>
      <w:tr w:rsidR="00BF46B4" w:rsidRPr="00D30BC1" w14:paraId="469DB4A8" w14:textId="77777777" w:rsidTr="00D30BC1">
        <w:trPr>
          <w:trHeight w:val="257"/>
        </w:trPr>
        <w:tc>
          <w:tcPr>
            <w:tcW w:w="1444" w:type="dxa"/>
            <w:shd w:val="clear" w:color="auto" w:fill="auto"/>
            <w:tcMar>
              <w:top w:w="15" w:type="dxa"/>
              <w:left w:w="15" w:type="dxa"/>
              <w:bottom w:w="0" w:type="dxa"/>
              <w:right w:w="15" w:type="dxa"/>
            </w:tcMar>
          </w:tcPr>
          <w:p w14:paraId="5ABEAF49"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Gas Cap Gas</w:t>
            </w:r>
          </w:p>
        </w:tc>
        <w:tc>
          <w:tcPr>
            <w:tcW w:w="1079" w:type="dxa"/>
            <w:shd w:val="clear" w:color="auto" w:fill="auto"/>
          </w:tcPr>
          <w:p w14:paraId="60575CFB" w14:textId="77777777" w:rsidR="00BF46B4" w:rsidRPr="00D30BC1" w:rsidRDefault="00BF46B4" w:rsidP="00D30BC1">
            <w:pPr>
              <w:rPr>
                <w:rFonts w:ascii="Arial" w:hAnsi="Arial" w:cs="Arial"/>
                <w:sz w:val="18"/>
                <w:szCs w:val="22"/>
              </w:rPr>
            </w:pPr>
            <w:r w:rsidRPr="00D30BC1">
              <w:rPr>
                <w:rFonts w:ascii="Arial" w:hAnsi="Arial" w:cs="Arial"/>
                <w:sz w:val="18"/>
                <w:szCs w:val="22"/>
              </w:rPr>
              <w:t>2001 - 6.2.2</w:t>
            </w:r>
          </w:p>
        </w:tc>
        <w:tc>
          <w:tcPr>
            <w:tcW w:w="7199" w:type="dxa"/>
            <w:shd w:val="clear" w:color="auto" w:fill="auto"/>
            <w:tcMar>
              <w:top w:w="15" w:type="dxa"/>
              <w:left w:w="15" w:type="dxa"/>
              <w:bottom w:w="0" w:type="dxa"/>
              <w:right w:w="15" w:type="dxa"/>
            </w:tcMar>
          </w:tcPr>
          <w:p w14:paraId="129704BE"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Gas Cap Gas is a free natural gas which overlies and is in contact with crude oil in the reservoir.  It is a subset of Associated Gas.</w:t>
            </w:r>
          </w:p>
        </w:tc>
      </w:tr>
      <w:tr w:rsidR="00BF46B4" w:rsidRPr="00D30BC1" w14:paraId="799A2574" w14:textId="77777777" w:rsidTr="00D30BC1">
        <w:trPr>
          <w:trHeight w:val="1359"/>
        </w:trPr>
        <w:tc>
          <w:tcPr>
            <w:tcW w:w="1444" w:type="dxa"/>
            <w:shd w:val="clear" w:color="auto" w:fill="auto"/>
            <w:tcMar>
              <w:top w:w="15" w:type="dxa"/>
              <w:left w:w="15" w:type="dxa"/>
              <w:bottom w:w="0" w:type="dxa"/>
              <w:right w:w="15" w:type="dxa"/>
            </w:tcMar>
          </w:tcPr>
          <w:p w14:paraId="2B285D63" w14:textId="77777777" w:rsidR="00BF46B4" w:rsidRPr="00D30BC1" w:rsidRDefault="00BF46B4" w:rsidP="00D30BC1">
            <w:pPr>
              <w:rPr>
                <w:rFonts w:ascii="Arial" w:hAnsi="Arial" w:cs="Arial"/>
                <w:sz w:val="20"/>
                <w:szCs w:val="22"/>
              </w:rPr>
            </w:pPr>
            <w:r w:rsidRPr="00D30BC1">
              <w:rPr>
                <w:rFonts w:ascii="Arial" w:hAnsi="Arial" w:cs="Arial"/>
                <w:sz w:val="20"/>
                <w:szCs w:val="22"/>
              </w:rPr>
              <w:t>Gas Hydrates</w:t>
            </w:r>
          </w:p>
        </w:tc>
        <w:tc>
          <w:tcPr>
            <w:tcW w:w="1079" w:type="dxa"/>
            <w:shd w:val="clear" w:color="auto" w:fill="auto"/>
          </w:tcPr>
          <w:p w14:paraId="469355F6" w14:textId="77777777" w:rsidR="00BF46B4" w:rsidRPr="00D30BC1" w:rsidRDefault="00BF46B4" w:rsidP="00D30BC1">
            <w:pPr>
              <w:rPr>
                <w:rFonts w:ascii="Arial" w:hAnsi="Arial" w:cs="Arial"/>
                <w:sz w:val="18"/>
                <w:szCs w:val="20"/>
              </w:rPr>
            </w:pPr>
            <w:r w:rsidRPr="00D30BC1">
              <w:rPr>
                <w:rFonts w:ascii="Arial" w:hAnsi="Arial" w:cs="Arial"/>
                <w:sz w:val="18"/>
                <w:szCs w:val="20"/>
              </w:rPr>
              <w:t>2007 - 2.4</w:t>
            </w:r>
          </w:p>
        </w:tc>
        <w:tc>
          <w:tcPr>
            <w:tcW w:w="7199" w:type="dxa"/>
            <w:shd w:val="clear" w:color="auto" w:fill="auto"/>
            <w:tcMar>
              <w:top w:w="15" w:type="dxa"/>
              <w:left w:w="15" w:type="dxa"/>
              <w:bottom w:w="0" w:type="dxa"/>
              <w:right w:w="15" w:type="dxa"/>
            </w:tcMar>
          </w:tcPr>
          <w:p w14:paraId="1D55A4A6"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0"/>
              </w:rPr>
              <w:t>Gas hydrates are naturally occurring crystalline substances composed of water and gas, in which a solid water lattice accommodates gas molecules in a cage-like structure, or clathrate. At conditions of standard temperature and pressure (STP), one volume of saturated methane hydrate will contain as much as 164 volumes of methane gas. Because of this large gas-storage capacity, gas hydrates are thought to represent an important future source of natural gas. Gas hydrates are included in unconventional resources, but the technology to support commercial production has yet to be developed.</w:t>
            </w:r>
          </w:p>
        </w:tc>
      </w:tr>
      <w:tr w:rsidR="00BF46B4" w:rsidRPr="00D30BC1" w14:paraId="2AFC966F" w14:textId="77777777" w:rsidTr="00D30BC1">
        <w:trPr>
          <w:trHeight w:val="335"/>
        </w:trPr>
        <w:tc>
          <w:tcPr>
            <w:tcW w:w="1444" w:type="dxa"/>
            <w:shd w:val="clear" w:color="auto" w:fill="auto"/>
            <w:tcMar>
              <w:top w:w="15" w:type="dxa"/>
              <w:left w:w="15" w:type="dxa"/>
              <w:bottom w:w="0" w:type="dxa"/>
              <w:right w:w="15" w:type="dxa"/>
            </w:tcMar>
          </w:tcPr>
          <w:p w14:paraId="299BD957" w14:textId="77777777" w:rsidR="00BF46B4" w:rsidRPr="00D30BC1" w:rsidRDefault="00BF46B4" w:rsidP="00D30BC1">
            <w:pPr>
              <w:rPr>
                <w:rFonts w:ascii="Arial" w:hAnsi="Arial" w:cs="Arial"/>
                <w:sz w:val="20"/>
                <w:szCs w:val="22"/>
              </w:rPr>
            </w:pPr>
            <w:r w:rsidRPr="00D30BC1">
              <w:rPr>
                <w:rFonts w:ascii="Arial" w:hAnsi="Arial" w:cs="Arial"/>
                <w:sz w:val="20"/>
                <w:szCs w:val="22"/>
              </w:rPr>
              <w:t>Gas Inventory</w:t>
            </w:r>
          </w:p>
        </w:tc>
        <w:tc>
          <w:tcPr>
            <w:tcW w:w="1079" w:type="dxa"/>
            <w:shd w:val="clear" w:color="auto" w:fill="auto"/>
          </w:tcPr>
          <w:p w14:paraId="5AED9E5E" w14:textId="77777777" w:rsidR="00BF46B4" w:rsidRPr="00D30BC1" w:rsidRDefault="00BF46B4" w:rsidP="00D30BC1">
            <w:pPr>
              <w:rPr>
                <w:rFonts w:ascii="Arial" w:hAnsi="Arial" w:cs="Arial"/>
                <w:sz w:val="18"/>
                <w:szCs w:val="22"/>
              </w:rPr>
            </w:pPr>
          </w:p>
        </w:tc>
        <w:tc>
          <w:tcPr>
            <w:tcW w:w="7199" w:type="dxa"/>
            <w:shd w:val="clear" w:color="auto" w:fill="auto"/>
            <w:tcMar>
              <w:top w:w="15" w:type="dxa"/>
              <w:left w:w="15" w:type="dxa"/>
              <w:bottom w:w="0" w:type="dxa"/>
              <w:right w:w="15" w:type="dxa"/>
            </w:tcMar>
          </w:tcPr>
          <w:p w14:paraId="68E16C17"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 xml:space="preserve">With respect to underground natural gas storage, </w:t>
            </w:r>
            <w:r w:rsidR="00C30824" w:rsidRPr="00D30BC1">
              <w:rPr>
                <w:rFonts w:cs="Arial"/>
                <w:sz w:val="18"/>
                <w:szCs w:val="22"/>
              </w:rPr>
              <w:t>“</w:t>
            </w:r>
            <w:r w:rsidRPr="00D30BC1">
              <w:rPr>
                <w:rFonts w:ascii="Arial" w:hAnsi="Arial" w:cs="Arial"/>
                <w:sz w:val="20"/>
                <w:szCs w:val="22"/>
              </w:rPr>
              <w:t>gas inventory</w:t>
            </w:r>
            <w:r w:rsidR="00C30824" w:rsidRPr="00D30BC1">
              <w:rPr>
                <w:rFonts w:cs="Arial"/>
                <w:sz w:val="18"/>
                <w:szCs w:val="22"/>
              </w:rPr>
              <w:t>”</w:t>
            </w:r>
            <w:r w:rsidRPr="00D30BC1">
              <w:rPr>
                <w:rFonts w:ascii="Arial" w:hAnsi="Arial" w:cs="Arial"/>
                <w:sz w:val="20"/>
                <w:szCs w:val="22"/>
              </w:rPr>
              <w:t xml:space="preserve"> is the sum of Working Gas Volume and Cushion Gas Volume.</w:t>
            </w:r>
          </w:p>
        </w:tc>
      </w:tr>
      <w:tr w:rsidR="00BF46B4" w:rsidRPr="00D30BC1" w14:paraId="0DEB75C8" w14:textId="77777777" w:rsidTr="00D30BC1">
        <w:trPr>
          <w:trHeight w:val="335"/>
        </w:trPr>
        <w:tc>
          <w:tcPr>
            <w:tcW w:w="1444" w:type="dxa"/>
            <w:shd w:val="clear" w:color="auto" w:fill="auto"/>
            <w:tcMar>
              <w:top w:w="15" w:type="dxa"/>
              <w:left w:w="15" w:type="dxa"/>
              <w:bottom w:w="0" w:type="dxa"/>
              <w:right w:w="15" w:type="dxa"/>
            </w:tcMar>
          </w:tcPr>
          <w:p w14:paraId="3723DF44" w14:textId="77777777" w:rsidR="00BF46B4" w:rsidRPr="00D30BC1" w:rsidRDefault="00BF46B4" w:rsidP="00D30BC1">
            <w:pPr>
              <w:rPr>
                <w:rFonts w:ascii="Arial" w:hAnsi="Arial" w:cs="Arial"/>
                <w:sz w:val="20"/>
                <w:szCs w:val="22"/>
              </w:rPr>
            </w:pPr>
            <w:r w:rsidRPr="00D30BC1">
              <w:rPr>
                <w:rFonts w:ascii="Arial" w:hAnsi="Arial" w:cs="Arial"/>
                <w:sz w:val="20"/>
                <w:szCs w:val="22"/>
              </w:rPr>
              <w:t>Gas/Oil Ratio</w:t>
            </w:r>
          </w:p>
        </w:tc>
        <w:tc>
          <w:tcPr>
            <w:tcW w:w="1079" w:type="dxa"/>
            <w:shd w:val="clear" w:color="auto" w:fill="auto"/>
          </w:tcPr>
          <w:p w14:paraId="7638FD5B"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w:t>
            </w:r>
            <w:r w:rsidR="004C1E37" w:rsidRPr="00D30BC1">
              <w:rPr>
                <w:rFonts w:ascii="Arial" w:hAnsi="Arial" w:cs="Arial"/>
                <w:sz w:val="18"/>
                <w:szCs w:val="22"/>
              </w:rPr>
              <w:t>-</w:t>
            </w:r>
            <w:r w:rsidRPr="00D30BC1">
              <w:rPr>
                <w:rFonts w:ascii="Arial" w:hAnsi="Arial" w:cs="Arial"/>
                <w:sz w:val="18"/>
                <w:szCs w:val="22"/>
              </w:rPr>
              <w:t xml:space="preserve"> 3.4.4</w:t>
            </w:r>
          </w:p>
        </w:tc>
        <w:tc>
          <w:tcPr>
            <w:tcW w:w="7199" w:type="dxa"/>
            <w:shd w:val="clear" w:color="auto" w:fill="auto"/>
            <w:tcMar>
              <w:top w:w="15" w:type="dxa"/>
              <w:left w:w="15" w:type="dxa"/>
              <w:bottom w:w="0" w:type="dxa"/>
              <w:right w:w="15" w:type="dxa"/>
            </w:tcMar>
          </w:tcPr>
          <w:p w14:paraId="035C7B1B"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 xml:space="preserve">Gas to oil ratio in an oil field, calculated using measured natural gas and crude oil volumes at stated conditions. The gas/oil ratio may be the solution gas/oil , symbol </w:t>
            </w:r>
            <w:r w:rsidRPr="00D30BC1">
              <w:rPr>
                <w:rFonts w:ascii="Arial" w:hAnsi="Arial" w:cs="Arial"/>
                <w:i/>
                <w:sz w:val="20"/>
                <w:szCs w:val="22"/>
              </w:rPr>
              <w:t>R</w:t>
            </w:r>
            <w:r w:rsidRPr="00D30BC1">
              <w:rPr>
                <w:rFonts w:ascii="Arial" w:hAnsi="Arial" w:cs="Arial"/>
                <w:i/>
                <w:sz w:val="20"/>
                <w:szCs w:val="22"/>
                <w:vertAlign w:val="subscript"/>
              </w:rPr>
              <w:t>s</w:t>
            </w:r>
            <w:r w:rsidRPr="00D30BC1">
              <w:rPr>
                <w:rFonts w:ascii="Arial" w:hAnsi="Arial" w:cs="Arial"/>
                <w:sz w:val="20"/>
                <w:szCs w:val="22"/>
              </w:rPr>
              <w:t xml:space="preserve">; produced gas/oil ratio, symbol </w:t>
            </w:r>
            <w:r w:rsidRPr="00D30BC1">
              <w:rPr>
                <w:rFonts w:ascii="Arial" w:hAnsi="Arial" w:cs="Arial"/>
                <w:i/>
                <w:sz w:val="20"/>
                <w:szCs w:val="22"/>
              </w:rPr>
              <w:t>R</w:t>
            </w:r>
            <w:r w:rsidRPr="00D30BC1">
              <w:rPr>
                <w:rFonts w:ascii="Arial" w:hAnsi="Arial" w:cs="Arial"/>
                <w:i/>
                <w:sz w:val="20"/>
                <w:szCs w:val="22"/>
                <w:vertAlign w:val="subscript"/>
              </w:rPr>
              <w:t>p</w:t>
            </w:r>
            <w:r w:rsidRPr="00D30BC1">
              <w:rPr>
                <w:rFonts w:ascii="Arial" w:hAnsi="Arial" w:cs="Arial"/>
                <w:sz w:val="20"/>
                <w:szCs w:val="22"/>
              </w:rPr>
              <w:t xml:space="preserve">; or another suitably defined ratio of gas production to oil production.  </w:t>
            </w:r>
          </w:p>
        </w:tc>
      </w:tr>
      <w:tr w:rsidR="00BF46B4" w:rsidRPr="00D30BC1" w14:paraId="135CD833" w14:textId="77777777" w:rsidTr="00D30BC1">
        <w:trPr>
          <w:trHeight w:val="1233"/>
        </w:trPr>
        <w:tc>
          <w:tcPr>
            <w:tcW w:w="1444" w:type="dxa"/>
            <w:shd w:val="clear" w:color="auto" w:fill="auto"/>
            <w:tcMar>
              <w:top w:w="15" w:type="dxa"/>
              <w:left w:w="15" w:type="dxa"/>
              <w:bottom w:w="0" w:type="dxa"/>
              <w:right w:w="15" w:type="dxa"/>
            </w:tcMar>
          </w:tcPr>
          <w:p w14:paraId="1D122B43"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Gas Plant Products</w:t>
            </w:r>
          </w:p>
        </w:tc>
        <w:tc>
          <w:tcPr>
            <w:tcW w:w="1079" w:type="dxa"/>
            <w:shd w:val="clear" w:color="auto" w:fill="auto"/>
          </w:tcPr>
          <w:p w14:paraId="5D126641" w14:textId="77777777" w:rsidR="00BF46B4" w:rsidRPr="00D30BC1" w:rsidRDefault="00BF46B4" w:rsidP="00D30BC1">
            <w:pPr>
              <w:rPr>
                <w:rFonts w:ascii="Arial" w:hAnsi="Arial" w:cs="Arial"/>
                <w:sz w:val="18"/>
                <w:szCs w:val="22"/>
              </w:rPr>
            </w:pPr>
          </w:p>
        </w:tc>
        <w:tc>
          <w:tcPr>
            <w:tcW w:w="7199" w:type="dxa"/>
            <w:shd w:val="clear" w:color="auto" w:fill="auto"/>
            <w:tcMar>
              <w:top w:w="15" w:type="dxa"/>
              <w:left w:w="15" w:type="dxa"/>
              <w:bottom w:w="0" w:type="dxa"/>
              <w:right w:w="15" w:type="dxa"/>
            </w:tcMar>
          </w:tcPr>
          <w:p w14:paraId="25E9BF4E" w14:textId="77777777" w:rsidR="00BF46B4" w:rsidRPr="00D30BC1" w:rsidRDefault="00BF46B4" w:rsidP="00D30BC1">
            <w:pPr>
              <w:pStyle w:val="CommentText"/>
              <w:spacing w:after="120"/>
              <w:rPr>
                <w:rFonts w:ascii="Arial" w:eastAsia="Arial Unicode MS" w:hAnsi="Arial" w:cs="Arial"/>
                <w:szCs w:val="22"/>
              </w:rPr>
            </w:pPr>
            <w:r w:rsidRPr="00D30BC1">
              <w:rPr>
                <w:rFonts w:ascii="Arial" w:hAnsi="Arial" w:cs="Arial"/>
                <w:szCs w:val="22"/>
              </w:rPr>
              <w:t>Gas Plant Products are natural gas liquids (or components) recovered from natural gas in gas processing plants and, in some situations, from field facilities. Gas Plant Products include ethane, propan</w:t>
            </w:r>
            <w:r w:rsidR="00952864" w:rsidRPr="00D30BC1">
              <w:rPr>
                <w:rFonts w:ascii="Arial" w:hAnsi="Arial" w:cs="Arial"/>
                <w:szCs w:val="22"/>
              </w:rPr>
              <w:t>e, butanes, butanes/</w:t>
            </w:r>
            <w:r w:rsidRPr="00D30BC1">
              <w:rPr>
                <w:rFonts w:ascii="Arial" w:hAnsi="Arial" w:cs="Arial"/>
                <w:szCs w:val="22"/>
              </w:rPr>
              <w:t>propane mixtures, natural gasoline and plant condensates, sulfur, carbon dioxide, nitrogen, and helium.</w:t>
            </w:r>
            <w:r w:rsidR="00E34576" w:rsidRPr="00D30BC1">
              <w:rPr>
                <w:rFonts w:ascii="Arial" w:eastAsia="Arial Unicode MS" w:hAnsi="Arial" w:cs="Arial"/>
                <w:szCs w:val="22"/>
              </w:rPr>
              <w:t xml:space="preserve"> </w:t>
            </w:r>
          </w:p>
        </w:tc>
      </w:tr>
      <w:tr w:rsidR="00BF46B4" w:rsidRPr="00D30BC1" w14:paraId="06D65BFE" w14:textId="77777777" w:rsidTr="00D30BC1">
        <w:trPr>
          <w:trHeight w:val="518"/>
        </w:trPr>
        <w:tc>
          <w:tcPr>
            <w:tcW w:w="1444" w:type="dxa"/>
            <w:shd w:val="clear" w:color="auto" w:fill="auto"/>
            <w:tcMar>
              <w:top w:w="15" w:type="dxa"/>
              <w:left w:w="15" w:type="dxa"/>
              <w:bottom w:w="0" w:type="dxa"/>
              <w:right w:w="15" w:type="dxa"/>
            </w:tcMar>
          </w:tcPr>
          <w:p w14:paraId="6BDECD3A" w14:textId="77777777" w:rsidR="00BF46B4" w:rsidRPr="00D30BC1" w:rsidRDefault="00BF46B4" w:rsidP="00D30BC1">
            <w:pPr>
              <w:rPr>
                <w:rFonts w:ascii="Arial" w:hAnsi="Arial" w:cs="Arial"/>
                <w:sz w:val="20"/>
                <w:szCs w:val="22"/>
              </w:rPr>
            </w:pPr>
            <w:r w:rsidRPr="00D30BC1">
              <w:rPr>
                <w:rFonts w:ascii="Arial" w:hAnsi="Arial" w:cs="Arial"/>
                <w:sz w:val="20"/>
                <w:szCs w:val="22"/>
              </w:rPr>
              <w:t>Gas-to-Liquids (GTL) Projects</w:t>
            </w:r>
          </w:p>
        </w:tc>
        <w:tc>
          <w:tcPr>
            <w:tcW w:w="1079" w:type="dxa"/>
            <w:shd w:val="clear" w:color="auto" w:fill="auto"/>
          </w:tcPr>
          <w:p w14:paraId="5D742CD2" w14:textId="77777777" w:rsidR="00BF46B4" w:rsidRPr="00D30BC1" w:rsidRDefault="00BF46B4" w:rsidP="00D30BC1">
            <w:pPr>
              <w:rPr>
                <w:rFonts w:ascii="Arial" w:hAnsi="Arial" w:cs="Arial"/>
                <w:sz w:val="18"/>
                <w:szCs w:val="22"/>
              </w:rPr>
            </w:pPr>
          </w:p>
        </w:tc>
        <w:tc>
          <w:tcPr>
            <w:tcW w:w="7199" w:type="dxa"/>
            <w:shd w:val="clear" w:color="auto" w:fill="auto"/>
            <w:tcMar>
              <w:top w:w="15" w:type="dxa"/>
              <w:left w:w="15" w:type="dxa"/>
              <w:bottom w:w="0" w:type="dxa"/>
              <w:right w:w="15" w:type="dxa"/>
            </w:tcMar>
          </w:tcPr>
          <w:p w14:paraId="4CE84CC7" w14:textId="77777777" w:rsidR="00BF46B4" w:rsidRPr="00D30BC1" w:rsidRDefault="00BF46B4" w:rsidP="00D30BC1">
            <w:pPr>
              <w:spacing w:after="120"/>
              <w:rPr>
                <w:rFonts w:ascii="Arial" w:hAnsi="Arial" w:cs="Arial"/>
                <w:sz w:val="20"/>
                <w:szCs w:val="20"/>
              </w:rPr>
            </w:pPr>
            <w:r w:rsidRPr="00D30BC1">
              <w:rPr>
                <w:rFonts w:ascii="Arial" w:hAnsi="Arial" w:cs="Arial"/>
                <w:sz w:val="20"/>
                <w:szCs w:val="20"/>
              </w:rPr>
              <w:t>Gas-to-Liquids projects use specialized processing (e.g.</w:t>
            </w:r>
            <w:r w:rsidR="00952864" w:rsidRPr="00D30BC1">
              <w:rPr>
                <w:rFonts w:ascii="Arial" w:hAnsi="Arial" w:cs="Arial"/>
                <w:sz w:val="20"/>
                <w:szCs w:val="20"/>
              </w:rPr>
              <w:t>,</w:t>
            </w:r>
            <w:r w:rsidRPr="00D30BC1">
              <w:rPr>
                <w:rFonts w:ascii="Arial" w:hAnsi="Arial" w:cs="Arial"/>
                <w:sz w:val="20"/>
                <w:szCs w:val="20"/>
              </w:rPr>
              <w:t xml:space="preserve"> Fischer-Tropsch synthesis) to convert natural gas into liquid petroleum products. Typically</w:t>
            </w:r>
            <w:r w:rsidR="00952864" w:rsidRPr="00D30BC1">
              <w:rPr>
                <w:rFonts w:ascii="Arial" w:hAnsi="Arial" w:cs="Arial"/>
                <w:sz w:val="20"/>
                <w:szCs w:val="20"/>
              </w:rPr>
              <w:t>,</w:t>
            </w:r>
            <w:r w:rsidRPr="00D30BC1">
              <w:rPr>
                <w:rFonts w:ascii="Arial" w:hAnsi="Arial" w:cs="Arial"/>
                <w:sz w:val="20"/>
                <w:szCs w:val="20"/>
              </w:rPr>
              <w:t xml:space="preserve"> these projects are applied to large gas accumulations where lack of adequate infrastructure or local markets would make conventional natural gas development projects uneconomic. </w:t>
            </w:r>
          </w:p>
        </w:tc>
      </w:tr>
      <w:tr w:rsidR="00BF46B4" w:rsidRPr="00D30BC1" w14:paraId="0E09D13E" w14:textId="77777777" w:rsidTr="00D30BC1">
        <w:trPr>
          <w:trHeight w:val="1657"/>
        </w:trPr>
        <w:tc>
          <w:tcPr>
            <w:tcW w:w="1444" w:type="dxa"/>
            <w:shd w:val="clear" w:color="auto" w:fill="auto"/>
            <w:tcMar>
              <w:top w:w="15" w:type="dxa"/>
              <w:left w:w="15" w:type="dxa"/>
              <w:bottom w:w="0" w:type="dxa"/>
              <w:right w:w="15" w:type="dxa"/>
            </w:tcMar>
          </w:tcPr>
          <w:p w14:paraId="6893CFC0"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Geostatistical Methods</w:t>
            </w:r>
          </w:p>
        </w:tc>
        <w:tc>
          <w:tcPr>
            <w:tcW w:w="1079" w:type="dxa"/>
            <w:shd w:val="clear" w:color="auto" w:fill="auto"/>
          </w:tcPr>
          <w:p w14:paraId="0995E699"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2001 - 7.1</w:t>
            </w:r>
          </w:p>
        </w:tc>
        <w:tc>
          <w:tcPr>
            <w:tcW w:w="7199" w:type="dxa"/>
            <w:shd w:val="clear" w:color="auto" w:fill="auto"/>
            <w:tcMar>
              <w:top w:w="15" w:type="dxa"/>
              <w:left w:w="15" w:type="dxa"/>
              <w:bottom w:w="0" w:type="dxa"/>
              <w:right w:w="15" w:type="dxa"/>
            </w:tcMar>
          </w:tcPr>
          <w:p w14:paraId="56BC39FF"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 xml:space="preserve">A variety of mathematical techniques and processes dealing with the collection, methods, analysis, interpretation, and presentation of masses of geoscience and engineering data to (mathematically) describe the variability and uncertainties within </w:t>
            </w:r>
            <w:r w:rsidR="00952864" w:rsidRPr="00D30BC1">
              <w:rPr>
                <w:rFonts w:ascii="Arial" w:eastAsia="Arial Unicode MS" w:hAnsi="Arial" w:cs="Arial"/>
                <w:sz w:val="20"/>
                <w:szCs w:val="22"/>
              </w:rPr>
              <w:t>any reservoir unit or pool,</w:t>
            </w:r>
            <w:r w:rsidRPr="00D30BC1">
              <w:rPr>
                <w:rFonts w:ascii="Arial" w:eastAsia="Arial Unicode MS" w:hAnsi="Arial" w:cs="Arial"/>
                <w:sz w:val="20"/>
                <w:szCs w:val="22"/>
              </w:rPr>
              <w:t xml:space="preserve"> specifically related here to resources estimates, including the definition of (all) well and reservoir parameters in 1, 2, and 3 dimensions and the resultant modeling and potential prediction of various aspects of performance.</w:t>
            </w:r>
          </w:p>
        </w:tc>
      </w:tr>
      <w:tr w:rsidR="00BF46B4" w:rsidRPr="00D30BC1" w14:paraId="23134722" w14:textId="77777777" w:rsidTr="00D30BC1">
        <w:trPr>
          <w:trHeight w:val="1222"/>
        </w:trPr>
        <w:tc>
          <w:tcPr>
            <w:tcW w:w="1444" w:type="dxa"/>
            <w:shd w:val="clear" w:color="auto" w:fill="auto"/>
            <w:tcMar>
              <w:top w:w="15" w:type="dxa"/>
              <w:left w:w="15" w:type="dxa"/>
              <w:bottom w:w="0" w:type="dxa"/>
              <w:right w:w="15" w:type="dxa"/>
            </w:tcMar>
          </w:tcPr>
          <w:p w14:paraId="29ACF6B1" w14:textId="77777777" w:rsidR="00BF46B4" w:rsidRPr="00D30BC1" w:rsidRDefault="00BF46B4" w:rsidP="00D30BC1">
            <w:pPr>
              <w:rPr>
                <w:rFonts w:ascii="Arial" w:hAnsi="Arial" w:cs="Arial"/>
                <w:sz w:val="20"/>
                <w:szCs w:val="22"/>
              </w:rPr>
            </w:pPr>
            <w:r w:rsidRPr="00D30BC1">
              <w:rPr>
                <w:rFonts w:ascii="Arial" w:hAnsi="Arial" w:cs="Arial"/>
                <w:sz w:val="20"/>
                <w:szCs w:val="22"/>
              </w:rPr>
              <w:t>High Estimate</w:t>
            </w:r>
          </w:p>
        </w:tc>
        <w:tc>
          <w:tcPr>
            <w:tcW w:w="1079" w:type="dxa"/>
            <w:shd w:val="clear" w:color="auto" w:fill="auto"/>
          </w:tcPr>
          <w:p w14:paraId="6B809C7F" w14:textId="77777777" w:rsidR="00BF46B4" w:rsidRPr="00D30BC1" w:rsidRDefault="00BF46B4" w:rsidP="00D30BC1">
            <w:pPr>
              <w:rPr>
                <w:rFonts w:ascii="Arial" w:hAnsi="Arial" w:cs="Arial"/>
                <w:sz w:val="18"/>
                <w:szCs w:val="22"/>
              </w:rPr>
            </w:pPr>
            <w:r w:rsidRPr="00D30BC1">
              <w:rPr>
                <w:rFonts w:ascii="Arial" w:hAnsi="Arial" w:cs="Arial"/>
                <w:sz w:val="18"/>
                <w:szCs w:val="22"/>
              </w:rPr>
              <w:t>2007 - 2.2.2</w:t>
            </w:r>
          </w:p>
          <w:p w14:paraId="400096D1" w14:textId="77777777" w:rsidR="00BF46B4" w:rsidRPr="00D30BC1" w:rsidRDefault="00952864" w:rsidP="00D30BC1">
            <w:pPr>
              <w:rPr>
                <w:rFonts w:ascii="Arial" w:hAnsi="Arial" w:cs="Arial"/>
                <w:sz w:val="18"/>
                <w:szCs w:val="22"/>
              </w:rPr>
            </w:pPr>
            <w:r w:rsidRPr="00D30BC1">
              <w:rPr>
                <w:rFonts w:ascii="Arial" w:hAnsi="Arial" w:cs="Arial"/>
                <w:sz w:val="18"/>
                <w:szCs w:val="22"/>
              </w:rPr>
              <w:t>2001 -</w:t>
            </w:r>
            <w:r w:rsidR="00BF46B4" w:rsidRPr="00D30BC1">
              <w:rPr>
                <w:rFonts w:ascii="Arial" w:hAnsi="Arial" w:cs="Arial"/>
                <w:sz w:val="18"/>
                <w:szCs w:val="22"/>
              </w:rPr>
              <w:t xml:space="preserve"> 2.5</w:t>
            </w:r>
          </w:p>
        </w:tc>
        <w:tc>
          <w:tcPr>
            <w:tcW w:w="7199" w:type="dxa"/>
            <w:shd w:val="clear" w:color="auto" w:fill="auto"/>
            <w:tcMar>
              <w:top w:w="15" w:type="dxa"/>
              <w:left w:w="15" w:type="dxa"/>
              <w:bottom w:w="0" w:type="dxa"/>
              <w:right w:w="15" w:type="dxa"/>
            </w:tcMar>
          </w:tcPr>
          <w:p w14:paraId="71A6B24E" w14:textId="77777777" w:rsidR="00BF46B4" w:rsidRPr="00D30BC1" w:rsidRDefault="00BF46B4" w:rsidP="00D30BC1">
            <w:pPr>
              <w:spacing w:after="120"/>
              <w:rPr>
                <w:rFonts w:ascii="Arial" w:hAnsi="Arial" w:cs="Arial"/>
                <w:sz w:val="20"/>
                <w:szCs w:val="22"/>
              </w:rPr>
            </w:pPr>
            <w:r w:rsidRPr="00D30BC1">
              <w:rPr>
                <w:rFonts w:ascii="Arial" w:eastAsia="Arial Unicode MS" w:hAnsi="Arial" w:cs="Arial"/>
                <w:sz w:val="20"/>
                <w:szCs w:val="22"/>
              </w:rPr>
              <w:t xml:space="preserve">With respect to resource categorization, this is considered to be an optimistic estimate of the quantity that will actually be recovered </w:t>
            </w:r>
            <w:r w:rsidR="00952864" w:rsidRPr="00D30BC1">
              <w:rPr>
                <w:rFonts w:ascii="Arial" w:eastAsia="Arial Unicode MS" w:hAnsi="Arial" w:cs="Arial"/>
                <w:sz w:val="20"/>
                <w:szCs w:val="22"/>
              </w:rPr>
              <w:t xml:space="preserve">from </w:t>
            </w:r>
            <w:r w:rsidRPr="00D30BC1">
              <w:rPr>
                <w:rFonts w:ascii="Arial" w:eastAsia="Arial Unicode MS" w:hAnsi="Arial" w:cs="Arial"/>
                <w:sz w:val="20"/>
                <w:szCs w:val="22"/>
              </w:rPr>
              <w:t xml:space="preserve">an accumulation by a project. If probabilistic methods are used, </w:t>
            </w:r>
            <w:r w:rsidRPr="00D30BC1">
              <w:rPr>
                <w:rFonts w:ascii="Arial" w:hAnsi="Arial" w:cs="Arial"/>
                <w:sz w:val="20"/>
              </w:rPr>
              <w:t>there should be at least a 10% probability (P10) that the quantities actually recovered will equal or exceed the high estimate</w:t>
            </w:r>
            <w:r w:rsidRPr="00D30BC1">
              <w:rPr>
                <w:rFonts w:ascii="Arial" w:eastAsia="Arial Unicode MS" w:hAnsi="Arial" w:cs="Arial"/>
                <w:sz w:val="20"/>
                <w:szCs w:val="22"/>
              </w:rPr>
              <w:t xml:space="preserve">. </w:t>
            </w:r>
          </w:p>
        </w:tc>
      </w:tr>
      <w:tr w:rsidR="00BF46B4" w:rsidRPr="00D30BC1" w14:paraId="5E14DACA" w14:textId="77777777" w:rsidTr="00D30BC1">
        <w:trPr>
          <w:trHeight w:val="518"/>
        </w:trPr>
        <w:tc>
          <w:tcPr>
            <w:tcW w:w="1444" w:type="dxa"/>
            <w:shd w:val="clear" w:color="auto" w:fill="auto"/>
            <w:tcMar>
              <w:top w:w="15" w:type="dxa"/>
              <w:left w:w="15" w:type="dxa"/>
              <w:bottom w:w="0" w:type="dxa"/>
              <w:right w:w="15" w:type="dxa"/>
            </w:tcMar>
          </w:tcPr>
          <w:p w14:paraId="359CB34D"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Hydrocarbons</w:t>
            </w:r>
          </w:p>
        </w:tc>
        <w:tc>
          <w:tcPr>
            <w:tcW w:w="1079" w:type="dxa"/>
            <w:shd w:val="clear" w:color="auto" w:fill="auto"/>
          </w:tcPr>
          <w:p w14:paraId="5797638B" w14:textId="77777777" w:rsidR="00BF46B4" w:rsidRPr="00D30BC1" w:rsidRDefault="00BF46B4" w:rsidP="00D30BC1">
            <w:pPr>
              <w:rPr>
                <w:rFonts w:ascii="Arial" w:hAnsi="Arial" w:cs="Arial"/>
                <w:sz w:val="18"/>
                <w:szCs w:val="22"/>
              </w:rPr>
            </w:pPr>
            <w:r w:rsidRPr="00D30BC1">
              <w:rPr>
                <w:rFonts w:ascii="Arial" w:hAnsi="Arial" w:cs="Arial"/>
                <w:sz w:val="18"/>
                <w:szCs w:val="22"/>
              </w:rPr>
              <w:t>2007 - 1.1</w:t>
            </w:r>
          </w:p>
        </w:tc>
        <w:tc>
          <w:tcPr>
            <w:tcW w:w="7199" w:type="dxa"/>
            <w:shd w:val="clear" w:color="auto" w:fill="auto"/>
            <w:tcMar>
              <w:top w:w="15" w:type="dxa"/>
              <w:left w:w="15" w:type="dxa"/>
              <w:bottom w:w="0" w:type="dxa"/>
              <w:right w:w="15" w:type="dxa"/>
            </w:tcMar>
          </w:tcPr>
          <w:p w14:paraId="65D2ABC7"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Hydrocarbons are chemical compounds consisting wholly of hydrogen and carbon.</w:t>
            </w:r>
          </w:p>
        </w:tc>
      </w:tr>
    </w:tbl>
    <w:p w14:paraId="611A6DFE" w14:textId="77777777" w:rsidR="00BF46B4" w:rsidRPr="00D30BC1" w:rsidRDefault="00BF46B4" w:rsidP="00D30BC1">
      <w:r w:rsidRPr="00D30BC1">
        <w:br w:type="page"/>
      </w:r>
    </w:p>
    <w:tbl>
      <w:tblPr>
        <w:tblW w:w="972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8"/>
        <w:gridCol w:w="1062"/>
        <w:gridCol w:w="7202"/>
      </w:tblGrid>
      <w:tr w:rsidR="00BF46B4" w:rsidRPr="00D30BC1" w14:paraId="0A619AEE" w14:textId="77777777" w:rsidTr="00D30BC1">
        <w:trPr>
          <w:trHeight w:val="845"/>
        </w:trPr>
        <w:tc>
          <w:tcPr>
            <w:tcW w:w="1458" w:type="dxa"/>
            <w:shd w:val="clear" w:color="auto" w:fill="auto"/>
            <w:tcMar>
              <w:top w:w="15" w:type="dxa"/>
              <w:left w:w="15" w:type="dxa"/>
              <w:bottom w:w="0" w:type="dxa"/>
              <w:right w:w="15" w:type="dxa"/>
            </w:tcMar>
          </w:tcPr>
          <w:p w14:paraId="4DFA97B8" w14:textId="77777777" w:rsidR="00BF46B4" w:rsidRPr="00D30BC1" w:rsidRDefault="00BF46B4" w:rsidP="00D30BC1">
            <w:pPr>
              <w:rPr>
                <w:rFonts w:ascii="Arial" w:hAnsi="Arial" w:cs="Arial"/>
                <w:sz w:val="20"/>
                <w:szCs w:val="22"/>
              </w:rPr>
            </w:pPr>
            <w:r w:rsidRPr="00D30BC1">
              <w:rPr>
                <w:rFonts w:ascii="Arial" w:hAnsi="Arial" w:cs="Arial"/>
                <w:sz w:val="20"/>
                <w:szCs w:val="22"/>
              </w:rPr>
              <w:t>Improved Recovery (IR)</w:t>
            </w:r>
          </w:p>
        </w:tc>
        <w:tc>
          <w:tcPr>
            <w:tcW w:w="1062" w:type="dxa"/>
            <w:shd w:val="clear" w:color="auto" w:fill="auto"/>
          </w:tcPr>
          <w:p w14:paraId="219B3DA5" w14:textId="77777777" w:rsidR="00BF46B4" w:rsidRPr="00D30BC1" w:rsidRDefault="00BF46B4" w:rsidP="00D30BC1">
            <w:pPr>
              <w:rPr>
                <w:rFonts w:ascii="Arial" w:hAnsi="Arial" w:cs="Arial"/>
                <w:sz w:val="18"/>
                <w:szCs w:val="22"/>
              </w:rPr>
            </w:pPr>
            <w:r w:rsidRPr="00D30BC1">
              <w:rPr>
                <w:rFonts w:ascii="Arial" w:hAnsi="Arial" w:cs="Arial"/>
                <w:sz w:val="18"/>
                <w:szCs w:val="22"/>
              </w:rPr>
              <w:t>2007 - 2.3.4</w:t>
            </w:r>
          </w:p>
        </w:tc>
        <w:tc>
          <w:tcPr>
            <w:tcW w:w="7202" w:type="dxa"/>
            <w:shd w:val="clear" w:color="auto" w:fill="auto"/>
            <w:tcMar>
              <w:top w:w="15" w:type="dxa"/>
              <w:left w:w="15" w:type="dxa"/>
              <w:bottom w:w="0" w:type="dxa"/>
              <w:right w:w="15" w:type="dxa"/>
            </w:tcMar>
          </w:tcPr>
          <w:p w14:paraId="5B98A793"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Improved Recovery is the extraction of additional petroleum, beyond Primary Recovery, from naturally occurring reservoirs by supplementing the natural forces in the reservoir.  It includes waterflooding and gas injection for pressure maintenance, secondary processes, tertiary processes and any other means of supplementing natural reservoir recovery processes.  Improved recovery also includes thermal and chemi</w:t>
            </w:r>
            <w:r w:rsidR="00BC686D" w:rsidRPr="00D30BC1">
              <w:rPr>
                <w:rFonts w:ascii="Arial" w:hAnsi="Arial" w:cs="Arial"/>
                <w:sz w:val="20"/>
                <w:szCs w:val="22"/>
              </w:rPr>
              <w:t>cal processes to improve the in-</w:t>
            </w:r>
            <w:r w:rsidRPr="00D30BC1">
              <w:rPr>
                <w:rFonts w:ascii="Arial" w:hAnsi="Arial" w:cs="Arial"/>
                <w:sz w:val="20"/>
                <w:szCs w:val="22"/>
              </w:rPr>
              <w:t>situ mobility of viscous forms of petroleum. (</w:t>
            </w:r>
            <w:r w:rsidR="00BC686D" w:rsidRPr="00D30BC1">
              <w:rPr>
                <w:rFonts w:ascii="Arial" w:hAnsi="Arial" w:cs="Arial"/>
                <w:sz w:val="20"/>
                <w:szCs w:val="22"/>
              </w:rPr>
              <w:t>A</w:t>
            </w:r>
            <w:r w:rsidRPr="00D30BC1">
              <w:rPr>
                <w:rFonts w:ascii="Arial" w:hAnsi="Arial" w:cs="Arial"/>
                <w:sz w:val="20"/>
                <w:szCs w:val="22"/>
              </w:rPr>
              <w:t>lso called Enhanced Recovery</w:t>
            </w:r>
            <w:r w:rsidR="00BC686D" w:rsidRPr="00D30BC1">
              <w:rPr>
                <w:rFonts w:ascii="Arial" w:hAnsi="Arial" w:cs="Arial"/>
                <w:sz w:val="20"/>
                <w:szCs w:val="22"/>
              </w:rPr>
              <w:t>.</w:t>
            </w:r>
            <w:r w:rsidRPr="00D30BC1">
              <w:rPr>
                <w:rFonts w:ascii="Arial" w:hAnsi="Arial" w:cs="Arial"/>
                <w:sz w:val="20"/>
                <w:szCs w:val="22"/>
              </w:rPr>
              <w:t>)</w:t>
            </w:r>
            <w:r w:rsidR="00E34576" w:rsidRPr="00D30BC1">
              <w:rPr>
                <w:rFonts w:ascii="Arial" w:hAnsi="Arial" w:cs="Arial"/>
                <w:sz w:val="20"/>
                <w:szCs w:val="22"/>
              </w:rPr>
              <w:t xml:space="preserve"> </w:t>
            </w:r>
          </w:p>
        </w:tc>
      </w:tr>
      <w:tr w:rsidR="00BF46B4" w:rsidRPr="00D30BC1" w14:paraId="1B178C11" w14:textId="77777777" w:rsidTr="00D30BC1">
        <w:trPr>
          <w:trHeight w:val="694"/>
        </w:trPr>
        <w:tc>
          <w:tcPr>
            <w:tcW w:w="1458" w:type="dxa"/>
            <w:shd w:val="clear" w:color="auto" w:fill="auto"/>
            <w:tcMar>
              <w:top w:w="15" w:type="dxa"/>
              <w:left w:w="15" w:type="dxa"/>
              <w:bottom w:w="0" w:type="dxa"/>
              <w:right w:w="15" w:type="dxa"/>
            </w:tcMar>
          </w:tcPr>
          <w:p w14:paraId="5D815ED9" w14:textId="77777777" w:rsidR="00BF46B4" w:rsidRPr="00D30BC1" w:rsidRDefault="00BF46B4" w:rsidP="00D30BC1">
            <w:pPr>
              <w:rPr>
                <w:rFonts w:ascii="Arial" w:hAnsi="Arial" w:cs="Arial"/>
                <w:sz w:val="20"/>
                <w:szCs w:val="22"/>
              </w:rPr>
            </w:pPr>
            <w:r w:rsidRPr="00D30BC1">
              <w:rPr>
                <w:rFonts w:ascii="Arial" w:hAnsi="Arial" w:cs="Arial"/>
                <w:sz w:val="20"/>
                <w:szCs w:val="22"/>
              </w:rPr>
              <w:t>Injection</w:t>
            </w:r>
          </w:p>
        </w:tc>
        <w:tc>
          <w:tcPr>
            <w:tcW w:w="1062" w:type="dxa"/>
            <w:shd w:val="clear" w:color="auto" w:fill="auto"/>
          </w:tcPr>
          <w:p w14:paraId="47208220" w14:textId="77777777" w:rsidR="00BF46B4" w:rsidRPr="00D30BC1" w:rsidRDefault="00BF46B4" w:rsidP="00D30BC1">
            <w:pPr>
              <w:pStyle w:val="BodyText2"/>
              <w:jc w:val="left"/>
              <w:rPr>
                <w:b w:val="0"/>
                <w:bCs w:val="0"/>
                <w:color w:val="auto"/>
                <w:sz w:val="18"/>
              </w:rPr>
            </w:pPr>
            <w:r w:rsidRPr="00D30BC1">
              <w:rPr>
                <w:b w:val="0"/>
                <w:bCs w:val="0"/>
                <w:color w:val="auto"/>
                <w:sz w:val="18"/>
              </w:rPr>
              <w:t>2001 - 3.5</w:t>
            </w:r>
          </w:p>
          <w:p w14:paraId="452CD08E" w14:textId="77777777" w:rsidR="00BF46B4" w:rsidRPr="00D30BC1" w:rsidRDefault="00BF46B4" w:rsidP="00D30BC1">
            <w:pPr>
              <w:pStyle w:val="BodyText2"/>
              <w:jc w:val="left"/>
              <w:rPr>
                <w:b w:val="0"/>
                <w:bCs w:val="0"/>
                <w:color w:val="auto"/>
                <w:sz w:val="20"/>
              </w:rPr>
            </w:pPr>
            <w:r w:rsidRPr="00D30BC1">
              <w:rPr>
                <w:b w:val="0"/>
                <w:bCs w:val="0"/>
                <w:color w:val="auto"/>
                <w:sz w:val="18"/>
              </w:rPr>
              <w:t>2007 - 3.2.5</w:t>
            </w:r>
          </w:p>
        </w:tc>
        <w:tc>
          <w:tcPr>
            <w:tcW w:w="7202" w:type="dxa"/>
            <w:shd w:val="clear" w:color="auto" w:fill="auto"/>
            <w:tcMar>
              <w:top w:w="15" w:type="dxa"/>
              <w:left w:w="15" w:type="dxa"/>
              <w:bottom w:w="0" w:type="dxa"/>
              <w:right w:w="15" w:type="dxa"/>
            </w:tcMar>
          </w:tcPr>
          <w:p w14:paraId="6349A3A3" w14:textId="77777777" w:rsidR="00BF46B4" w:rsidRPr="00D30BC1" w:rsidRDefault="00BF46B4" w:rsidP="00D30BC1">
            <w:pPr>
              <w:pStyle w:val="CommentText"/>
              <w:spacing w:after="120"/>
              <w:rPr>
                <w:rFonts w:ascii="Arial" w:hAnsi="Arial" w:cs="Arial"/>
                <w:szCs w:val="24"/>
              </w:rPr>
            </w:pPr>
            <w:r w:rsidRPr="00D30BC1">
              <w:rPr>
                <w:rFonts w:ascii="Arial" w:hAnsi="Arial" w:cs="Arial"/>
                <w:szCs w:val="24"/>
              </w:rPr>
              <w:t>The forcing, pumping, or free flow under vacuum, of substances into a porous and permeable subsurface rock formation. Injected substances can include either gases or liquids.</w:t>
            </w:r>
          </w:p>
        </w:tc>
      </w:tr>
      <w:tr w:rsidR="00BF46B4" w:rsidRPr="00D30BC1" w14:paraId="22772C22" w14:textId="77777777" w:rsidTr="00D30BC1">
        <w:trPr>
          <w:trHeight w:val="845"/>
        </w:trPr>
        <w:tc>
          <w:tcPr>
            <w:tcW w:w="1458" w:type="dxa"/>
            <w:shd w:val="clear" w:color="auto" w:fill="auto"/>
            <w:tcMar>
              <w:top w:w="15" w:type="dxa"/>
              <w:left w:w="15" w:type="dxa"/>
              <w:bottom w:w="0" w:type="dxa"/>
              <w:right w:w="15" w:type="dxa"/>
            </w:tcMar>
          </w:tcPr>
          <w:p w14:paraId="71653892" w14:textId="77777777" w:rsidR="00BF46B4" w:rsidRPr="00D30BC1" w:rsidRDefault="00BF46B4" w:rsidP="00D30BC1">
            <w:pPr>
              <w:rPr>
                <w:rFonts w:ascii="Arial" w:hAnsi="Arial" w:cs="Arial"/>
                <w:sz w:val="20"/>
                <w:szCs w:val="22"/>
              </w:rPr>
            </w:pPr>
            <w:r w:rsidRPr="00D30BC1">
              <w:rPr>
                <w:rFonts w:ascii="Arial" w:hAnsi="Arial" w:cs="Arial"/>
                <w:sz w:val="20"/>
                <w:szCs w:val="22"/>
              </w:rPr>
              <w:t>Justified for Development</w:t>
            </w:r>
          </w:p>
        </w:tc>
        <w:tc>
          <w:tcPr>
            <w:tcW w:w="1062" w:type="dxa"/>
            <w:shd w:val="clear" w:color="auto" w:fill="auto"/>
          </w:tcPr>
          <w:p w14:paraId="5338356B"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w:t>
            </w:r>
            <w:r w:rsidR="00BC686D" w:rsidRPr="00D30BC1">
              <w:rPr>
                <w:rFonts w:ascii="Arial" w:hAnsi="Arial" w:cs="Arial"/>
                <w:sz w:val="18"/>
                <w:szCs w:val="22"/>
              </w:rPr>
              <w:t>-</w:t>
            </w:r>
            <w:r w:rsidRPr="00D30BC1">
              <w:rPr>
                <w:rFonts w:ascii="Arial" w:hAnsi="Arial" w:cs="Arial"/>
                <w:sz w:val="18"/>
                <w:szCs w:val="22"/>
              </w:rPr>
              <w:t xml:space="preserve"> 2.1.3.1 and Table </w:t>
            </w:r>
            <w:r w:rsidR="00BC686D" w:rsidRPr="00D30BC1">
              <w:rPr>
                <w:rFonts w:ascii="Arial" w:hAnsi="Arial" w:cs="Arial"/>
                <w:sz w:val="18"/>
                <w:szCs w:val="22"/>
              </w:rPr>
              <w:t>1</w:t>
            </w:r>
          </w:p>
        </w:tc>
        <w:tc>
          <w:tcPr>
            <w:tcW w:w="7202" w:type="dxa"/>
            <w:shd w:val="clear" w:color="auto" w:fill="auto"/>
            <w:tcMar>
              <w:top w:w="15" w:type="dxa"/>
              <w:left w:w="15" w:type="dxa"/>
              <w:bottom w:w="0" w:type="dxa"/>
              <w:right w:w="15" w:type="dxa"/>
            </w:tcMar>
          </w:tcPr>
          <w:p w14:paraId="2E6637CB" w14:textId="77777777" w:rsidR="00BF46B4" w:rsidRPr="00D30BC1" w:rsidRDefault="00BF46B4" w:rsidP="00D30BC1">
            <w:pPr>
              <w:pStyle w:val="CommentText"/>
              <w:spacing w:after="120"/>
              <w:rPr>
                <w:rFonts w:ascii="Arial" w:hAnsi="Arial" w:cs="Arial"/>
                <w:szCs w:val="24"/>
              </w:rPr>
            </w:pPr>
            <w:r w:rsidRPr="00D30BC1">
              <w:rPr>
                <w:rFonts w:ascii="Arial" w:hAnsi="Arial" w:cs="Arial"/>
                <w:szCs w:val="24"/>
              </w:rPr>
              <w:t>Implementation of the development project is justified on the basis of reasonable forecast commercial conditions at the time of reporting and</w:t>
            </w:r>
            <w:r w:rsidR="00BC686D" w:rsidRPr="00D30BC1">
              <w:rPr>
                <w:rFonts w:ascii="Arial" w:hAnsi="Arial" w:cs="Arial"/>
                <w:szCs w:val="24"/>
              </w:rPr>
              <w:t xml:space="preserve"> that</w:t>
            </w:r>
            <w:r w:rsidRPr="00D30BC1">
              <w:rPr>
                <w:rFonts w:ascii="Arial" w:hAnsi="Arial" w:cs="Arial"/>
                <w:szCs w:val="24"/>
              </w:rPr>
              <w:t xml:space="preserve"> there are reasonable expectations that all necessary approvals/contracts will be obtained. </w:t>
            </w:r>
            <w:r w:rsidRPr="00D30BC1">
              <w:rPr>
                <w:rFonts w:ascii="Arial" w:hAnsi="Arial" w:cs="Arial"/>
                <w:szCs w:val="22"/>
              </w:rPr>
              <w:t>A project maturity sub-class that reflects the actions re</w:t>
            </w:r>
            <w:r w:rsidR="00BC686D" w:rsidRPr="00D30BC1">
              <w:rPr>
                <w:rFonts w:ascii="Arial" w:hAnsi="Arial" w:cs="Arial"/>
                <w:szCs w:val="22"/>
              </w:rPr>
              <w:t>quired to move a project toward</w:t>
            </w:r>
            <w:r w:rsidRPr="00D30BC1">
              <w:rPr>
                <w:rFonts w:ascii="Arial" w:hAnsi="Arial" w:cs="Arial"/>
                <w:szCs w:val="22"/>
              </w:rPr>
              <w:t xml:space="preserve"> commercial production.</w:t>
            </w:r>
          </w:p>
        </w:tc>
      </w:tr>
      <w:tr w:rsidR="00BF46B4" w:rsidRPr="00D30BC1" w14:paraId="1AE6B780" w14:textId="77777777" w:rsidTr="00D30BC1">
        <w:trPr>
          <w:trHeight w:val="845"/>
        </w:trPr>
        <w:tc>
          <w:tcPr>
            <w:tcW w:w="1458" w:type="dxa"/>
            <w:shd w:val="clear" w:color="auto" w:fill="auto"/>
            <w:tcMar>
              <w:top w:w="15" w:type="dxa"/>
              <w:left w:w="15" w:type="dxa"/>
              <w:bottom w:w="0" w:type="dxa"/>
              <w:right w:w="15" w:type="dxa"/>
            </w:tcMar>
          </w:tcPr>
          <w:p w14:paraId="50E4CF78" w14:textId="77777777" w:rsidR="00BF46B4" w:rsidRPr="00D30BC1" w:rsidRDefault="00BF46B4" w:rsidP="00D30BC1">
            <w:pPr>
              <w:rPr>
                <w:rFonts w:ascii="Arial" w:hAnsi="Arial" w:cs="Arial"/>
                <w:sz w:val="20"/>
                <w:szCs w:val="22"/>
              </w:rPr>
            </w:pPr>
            <w:r w:rsidRPr="00D30BC1">
              <w:rPr>
                <w:rFonts w:ascii="Arial" w:hAnsi="Arial" w:cs="Arial"/>
                <w:sz w:val="20"/>
                <w:szCs w:val="22"/>
              </w:rPr>
              <w:t>Kerogen</w:t>
            </w:r>
          </w:p>
        </w:tc>
        <w:tc>
          <w:tcPr>
            <w:tcW w:w="1062" w:type="dxa"/>
            <w:shd w:val="clear" w:color="auto" w:fill="auto"/>
          </w:tcPr>
          <w:p w14:paraId="74F8147E"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6C37272C"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The naturally occurring, solid, insoluble organic material that occurs in source rocks and can yield oil upon heating. Kerogen is also defined as the fraction of large chemical aggregates in sedimentary organic matter that is insoluble in solvents (in contrast, the fraction that is soluble in organic solvents is called bitumen). (</w:t>
            </w:r>
            <w:r w:rsidR="00BC686D" w:rsidRPr="00D30BC1">
              <w:rPr>
                <w:rFonts w:ascii="Arial" w:hAnsi="Arial" w:cs="Arial"/>
                <w:sz w:val="20"/>
                <w:szCs w:val="22"/>
              </w:rPr>
              <w:t>S</w:t>
            </w:r>
            <w:r w:rsidRPr="00D30BC1">
              <w:rPr>
                <w:rFonts w:ascii="Arial" w:hAnsi="Arial" w:cs="Arial"/>
                <w:sz w:val="20"/>
                <w:szCs w:val="22"/>
              </w:rPr>
              <w:t>ee also Oil Shales</w:t>
            </w:r>
            <w:r w:rsidR="00BC686D" w:rsidRPr="00D30BC1">
              <w:rPr>
                <w:rFonts w:ascii="Arial" w:hAnsi="Arial" w:cs="Arial"/>
                <w:sz w:val="20"/>
                <w:szCs w:val="22"/>
              </w:rPr>
              <w:t>.</w:t>
            </w:r>
            <w:r w:rsidRPr="00D30BC1">
              <w:rPr>
                <w:rFonts w:ascii="Arial" w:hAnsi="Arial" w:cs="Arial"/>
                <w:sz w:val="20"/>
                <w:szCs w:val="22"/>
              </w:rPr>
              <w:t>)</w:t>
            </w:r>
          </w:p>
        </w:tc>
      </w:tr>
      <w:tr w:rsidR="00BF46B4" w:rsidRPr="00D30BC1" w14:paraId="7F45FA67" w14:textId="77777777" w:rsidTr="00D30BC1">
        <w:trPr>
          <w:trHeight w:val="845"/>
        </w:trPr>
        <w:tc>
          <w:tcPr>
            <w:tcW w:w="1458" w:type="dxa"/>
            <w:shd w:val="clear" w:color="auto" w:fill="auto"/>
            <w:tcMar>
              <w:top w:w="15" w:type="dxa"/>
              <w:left w:w="15" w:type="dxa"/>
              <w:bottom w:w="0" w:type="dxa"/>
              <w:right w:w="15" w:type="dxa"/>
            </w:tcMar>
          </w:tcPr>
          <w:p w14:paraId="201A6E5D"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Known Accumulation</w:t>
            </w:r>
          </w:p>
        </w:tc>
        <w:tc>
          <w:tcPr>
            <w:tcW w:w="1062" w:type="dxa"/>
            <w:shd w:val="clear" w:color="auto" w:fill="auto"/>
          </w:tcPr>
          <w:p w14:paraId="3108967D" w14:textId="77777777" w:rsidR="00BF46B4" w:rsidRPr="00D30BC1" w:rsidRDefault="00BF46B4" w:rsidP="00D30BC1">
            <w:pPr>
              <w:rPr>
                <w:rFonts w:ascii="Arial" w:hAnsi="Arial" w:cs="Arial"/>
                <w:sz w:val="18"/>
                <w:szCs w:val="22"/>
              </w:rPr>
            </w:pPr>
            <w:r w:rsidRPr="00D30BC1">
              <w:rPr>
                <w:rFonts w:ascii="Arial" w:hAnsi="Arial" w:cs="Arial"/>
                <w:sz w:val="18"/>
                <w:szCs w:val="22"/>
              </w:rPr>
              <w:t>2007 - 2.1.1</w:t>
            </w:r>
          </w:p>
          <w:p w14:paraId="318215CC" w14:textId="77777777" w:rsidR="00BF46B4" w:rsidRPr="00D30BC1" w:rsidRDefault="00BF46B4" w:rsidP="00D30BC1">
            <w:pPr>
              <w:rPr>
                <w:rFonts w:ascii="Arial" w:hAnsi="Arial" w:cs="Arial"/>
                <w:sz w:val="18"/>
                <w:szCs w:val="22"/>
              </w:rPr>
            </w:pPr>
            <w:r w:rsidRPr="00D30BC1">
              <w:rPr>
                <w:rFonts w:ascii="Arial" w:hAnsi="Arial" w:cs="Arial"/>
                <w:sz w:val="18"/>
                <w:szCs w:val="22"/>
              </w:rPr>
              <w:t>2001 - 2.2</w:t>
            </w:r>
          </w:p>
        </w:tc>
        <w:tc>
          <w:tcPr>
            <w:tcW w:w="7202" w:type="dxa"/>
            <w:shd w:val="clear" w:color="auto" w:fill="auto"/>
            <w:tcMar>
              <w:top w:w="15" w:type="dxa"/>
              <w:left w:w="15" w:type="dxa"/>
              <w:bottom w:w="0" w:type="dxa"/>
              <w:right w:w="15" w:type="dxa"/>
            </w:tcMar>
          </w:tcPr>
          <w:p w14:paraId="668B0B86"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 xml:space="preserve">An accumulation is an individual body of petroleum-in-place. The key requirement to consider an accumulation as </w:t>
            </w:r>
            <w:r w:rsidR="00C30824" w:rsidRPr="00D30BC1">
              <w:rPr>
                <w:rFonts w:cs="Arial"/>
                <w:sz w:val="18"/>
                <w:szCs w:val="22"/>
              </w:rPr>
              <w:t>“</w:t>
            </w:r>
            <w:r w:rsidRPr="00D30BC1">
              <w:rPr>
                <w:rFonts w:ascii="Arial" w:hAnsi="Arial" w:cs="Arial"/>
                <w:sz w:val="20"/>
                <w:szCs w:val="22"/>
              </w:rPr>
              <w:t>known</w:t>
            </w:r>
            <w:r w:rsidR="00BC686D" w:rsidRPr="00D30BC1">
              <w:rPr>
                <w:rFonts w:ascii="Arial" w:hAnsi="Arial" w:cs="Arial"/>
                <w:sz w:val="20"/>
                <w:szCs w:val="22"/>
              </w:rPr>
              <w:t>,</w:t>
            </w:r>
            <w:r w:rsidR="00C30824" w:rsidRPr="00D30BC1">
              <w:rPr>
                <w:rFonts w:cs="Arial"/>
                <w:sz w:val="18"/>
                <w:szCs w:val="22"/>
              </w:rPr>
              <w:t>”</w:t>
            </w:r>
            <w:r w:rsidRPr="00D30BC1">
              <w:rPr>
                <w:rFonts w:ascii="Arial" w:hAnsi="Arial" w:cs="Arial"/>
                <w:sz w:val="20"/>
                <w:szCs w:val="22"/>
              </w:rPr>
              <w:t xml:space="preserve"> and hence containing Reserves or Contingent Resources, is that it must have been discovered, that is, penetrated by a well that has </w:t>
            </w:r>
            <w:r w:rsidRPr="00D30BC1">
              <w:rPr>
                <w:rFonts w:ascii="Arial" w:hAnsi="Arial" w:cs="Arial"/>
                <w:sz w:val="20"/>
              </w:rPr>
              <w:t>established through testing, sampling</w:t>
            </w:r>
            <w:r w:rsidR="00BC686D" w:rsidRPr="00D30BC1">
              <w:rPr>
                <w:rFonts w:ascii="Arial" w:hAnsi="Arial" w:cs="Arial"/>
                <w:sz w:val="20"/>
              </w:rPr>
              <w:t>,</w:t>
            </w:r>
            <w:r w:rsidRPr="00D30BC1">
              <w:rPr>
                <w:rFonts w:ascii="Arial" w:hAnsi="Arial" w:cs="Arial"/>
                <w:sz w:val="20"/>
              </w:rPr>
              <w:t xml:space="preserve"> or logging the existence of a significant quantity of recoverable hydrocarbons.</w:t>
            </w:r>
            <w:r w:rsidRPr="00D30BC1">
              <w:rPr>
                <w:rFonts w:ascii="Arial" w:hAnsi="Arial" w:cs="Arial"/>
                <w:strike/>
                <w:sz w:val="20"/>
                <w:szCs w:val="22"/>
              </w:rPr>
              <w:t xml:space="preserve"> </w:t>
            </w:r>
          </w:p>
        </w:tc>
      </w:tr>
      <w:tr w:rsidR="00BF46B4" w:rsidRPr="00D30BC1" w14:paraId="66B94287" w14:textId="77777777" w:rsidTr="00D30BC1">
        <w:trPr>
          <w:trHeight w:val="1054"/>
        </w:trPr>
        <w:tc>
          <w:tcPr>
            <w:tcW w:w="1458" w:type="dxa"/>
            <w:shd w:val="clear" w:color="auto" w:fill="auto"/>
            <w:tcMar>
              <w:top w:w="15" w:type="dxa"/>
              <w:left w:w="15" w:type="dxa"/>
              <w:bottom w:w="0" w:type="dxa"/>
              <w:right w:w="15" w:type="dxa"/>
            </w:tcMar>
          </w:tcPr>
          <w:p w14:paraId="3AA442BF"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Lead</w:t>
            </w:r>
          </w:p>
        </w:tc>
        <w:tc>
          <w:tcPr>
            <w:tcW w:w="1062" w:type="dxa"/>
            <w:shd w:val="clear" w:color="auto" w:fill="auto"/>
          </w:tcPr>
          <w:p w14:paraId="4AA160A5" w14:textId="77777777" w:rsidR="00BF46B4" w:rsidRPr="00D30BC1" w:rsidRDefault="00BF46B4" w:rsidP="00D30BC1">
            <w:pPr>
              <w:pStyle w:val="font5"/>
              <w:spacing w:before="0" w:beforeAutospacing="0" w:after="0" w:afterAutospacing="0"/>
              <w:rPr>
                <w:rFonts w:ascii="Arial" w:eastAsia="Times New Roman" w:hAnsi="Arial" w:cs="Arial"/>
                <w:sz w:val="18"/>
                <w:szCs w:val="22"/>
              </w:rPr>
            </w:pPr>
            <w:r w:rsidRPr="00D30BC1">
              <w:rPr>
                <w:rFonts w:ascii="Arial" w:eastAsia="Times New Roman" w:hAnsi="Arial" w:cs="Arial"/>
                <w:sz w:val="18"/>
                <w:szCs w:val="22"/>
              </w:rPr>
              <w:t xml:space="preserve">2007 - 2.1.3.1 and Table </w:t>
            </w:r>
            <w:r w:rsidR="00BC686D" w:rsidRPr="00D30BC1">
              <w:rPr>
                <w:rFonts w:ascii="Arial" w:eastAsia="Times New Roman" w:hAnsi="Arial" w:cs="Arial"/>
                <w:sz w:val="18"/>
                <w:szCs w:val="22"/>
              </w:rPr>
              <w:t>1</w:t>
            </w:r>
          </w:p>
        </w:tc>
        <w:tc>
          <w:tcPr>
            <w:tcW w:w="7202" w:type="dxa"/>
            <w:shd w:val="clear" w:color="auto" w:fill="auto"/>
            <w:tcMar>
              <w:top w:w="15" w:type="dxa"/>
              <w:left w:w="15" w:type="dxa"/>
              <w:bottom w:w="0" w:type="dxa"/>
              <w:right w:w="15" w:type="dxa"/>
            </w:tcMar>
          </w:tcPr>
          <w:p w14:paraId="2C0569D1" w14:textId="77777777" w:rsidR="00BF46B4" w:rsidRPr="00D30BC1" w:rsidRDefault="00BF46B4" w:rsidP="00D30BC1">
            <w:pPr>
              <w:pStyle w:val="font5"/>
              <w:spacing w:before="0" w:beforeAutospacing="0" w:after="120" w:afterAutospacing="0"/>
              <w:rPr>
                <w:rFonts w:ascii="Arial" w:eastAsia="Times New Roman" w:hAnsi="Arial" w:cs="Arial"/>
                <w:sz w:val="20"/>
                <w:szCs w:val="22"/>
              </w:rPr>
            </w:pPr>
            <w:r w:rsidRPr="00D30BC1">
              <w:rPr>
                <w:rFonts w:ascii="Arial" w:hAnsi="Arial" w:cs="Arial"/>
                <w:sz w:val="20"/>
                <w:szCs w:val="18"/>
              </w:rPr>
              <w:t xml:space="preserve">A project associated with a potential accumulation that is currently poorly defined and requires more data acquisition and/or evaluation in order to be classified as a prospect. </w:t>
            </w:r>
            <w:r w:rsidRPr="00D30BC1">
              <w:rPr>
                <w:rFonts w:ascii="Arial" w:hAnsi="Arial" w:cs="Arial"/>
                <w:sz w:val="20"/>
                <w:szCs w:val="22"/>
              </w:rPr>
              <w:t>A project maturity sub-class that reflects the actions re</w:t>
            </w:r>
            <w:r w:rsidR="00061C07" w:rsidRPr="00D30BC1">
              <w:rPr>
                <w:rFonts w:ascii="Arial" w:hAnsi="Arial" w:cs="Arial"/>
                <w:sz w:val="20"/>
                <w:szCs w:val="22"/>
              </w:rPr>
              <w:t>quired to move a project toward</w:t>
            </w:r>
            <w:r w:rsidRPr="00D30BC1">
              <w:rPr>
                <w:rFonts w:ascii="Arial" w:hAnsi="Arial" w:cs="Arial"/>
                <w:sz w:val="20"/>
                <w:szCs w:val="22"/>
              </w:rPr>
              <w:t xml:space="preserve"> commercial production.</w:t>
            </w:r>
          </w:p>
        </w:tc>
      </w:tr>
      <w:tr w:rsidR="00BF46B4" w:rsidRPr="00D30BC1" w14:paraId="69D46C46" w14:textId="77777777" w:rsidTr="00D30BC1">
        <w:trPr>
          <w:trHeight w:val="553"/>
        </w:trPr>
        <w:tc>
          <w:tcPr>
            <w:tcW w:w="1458" w:type="dxa"/>
            <w:shd w:val="clear" w:color="auto" w:fill="auto"/>
            <w:tcMar>
              <w:top w:w="15" w:type="dxa"/>
              <w:left w:w="15" w:type="dxa"/>
              <w:bottom w:w="0" w:type="dxa"/>
              <w:right w:w="15" w:type="dxa"/>
            </w:tcMar>
          </w:tcPr>
          <w:p w14:paraId="6C3A1972" w14:textId="77777777" w:rsidR="00BF46B4" w:rsidRPr="00D30BC1" w:rsidRDefault="00BF46B4" w:rsidP="00D30BC1">
            <w:pPr>
              <w:rPr>
                <w:rFonts w:ascii="Arial" w:hAnsi="Arial" w:cs="Arial"/>
                <w:sz w:val="20"/>
                <w:szCs w:val="22"/>
              </w:rPr>
            </w:pPr>
            <w:r w:rsidRPr="00D30BC1">
              <w:rPr>
                <w:rFonts w:ascii="Arial" w:hAnsi="Arial" w:cs="Arial"/>
                <w:sz w:val="20"/>
                <w:szCs w:val="22"/>
              </w:rPr>
              <w:t xml:space="preserve">Lease </w:t>
            </w:r>
          </w:p>
          <w:p w14:paraId="0BEF138B"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Condensate</w:t>
            </w:r>
          </w:p>
        </w:tc>
        <w:tc>
          <w:tcPr>
            <w:tcW w:w="1062" w:type="dxa"/>
            <w:shd w:val="clear" w:color="auto" w:fill="auto"/>
          </w:tcPr>
          <w:p w14:paraId="6DCD68FA"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7C412279"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Lease Condensate is condensate recovered from produced natural </w:t>
            </w:r>
            <w:r w:rsidR="00061C07" w:rsidRPr="00D30BC1">
              <w:rPr>
                <w:rFonts w:ascii="Arial" w:hAnsi="Arial" w:cs="Arial"/>
                <w:sz w:val="20"/>
                <w:szCs w:val="22"/>
              </w:rPr>
              <w:t xml:space="preserve">gas </w:t>
            </w:r>
            <w:r w:rsidRPr="00D30BC1">
              <w:rPr>
                <w:rFonts w:ascii="Arial" w:hAnsi="Arial" w:cs="Arial"/>
                <w:sz w:val="20"/>
                <w:szCs w:val="22"/>
              </w:rPr>
              <w:t>in gas</w:t>
            </w:r>
            <w:r w:rsidR="00061C07" w:rsidRPr="00D30BC1">
              <w:rPr>
                <w:rFonts w:ascii="Arial" w:hAnsi="Arial" w:cs="Arial"/>
                <w:sz w:val="20"/>
                <w:szCs w:val="22"/>
              </w:rPr>
              <w:t>/</w:t>
            </w:r>
            <w:r w:rsidRPr="00D30BC1">
              <w:rPr>
                <w:rFonts w:ascii="Arial" w:hAnsi="Arial" w:cs="Arial"/>
                <w:sz w:val="20"/>
                <w:szCs w:val="22"/>
              </w:rPr>
              <w:t>liquid separators or field facilities.</w:t>
            </w:r>
          </w:p>
        </w:tc>
      </w:tr>
      <w:tr w:rsidR="00BF46B4" w:rsidRPr="00D30BC1" w14:paraId="7C7C2125" w14:textId="77777777" w:rsidTr="00D30BC1">
        <w:trPr>
          <w:trHeight w:val="1021"/>
        </w:trPr>
        <w:tc>
          <w:tcPr>
            <w:tcW w:w="1458" w:type="dxa"/>
            <w:shd w:val="clear" w:color="auto" w:fill="auto"/>
            <w:tcMar>
              <w:top w:w="15" w:type="dxa"/>
              <w:left w:w="15" w:type="dxa"/>
              <w:bottom w:w="0" w:type="dxa"/>
              <w:right w:w="15" w:type="dxa"/>
            </w:tcMar>
          </w:tcPr>
          <w:p w14:paraId="154A9E10" w14:textId="77777777" w:rsidR="00BF46B4" w:rsidRPr="00D30BC1" w:rsidRDefault="00BF46B4" w:rsidP="00D30BC1">
            <w:pPr>
              <w:rPr>
                <w:rFonts w:ascii="Arial" w:hAnsi="Arial" w:cs="Arial"/>
                <w:sz w:val="20"/>
                <w:szCs w:val="22"/>
              </w:rPr>
            </w:pPr>
            <w:r w:rsidRPr="00D30BC1">
              <w:rPr>
                <w:rFonts w:ascii="Arial" w:hAnsi="Arial" w:cs="Arial"/>
                <w:sz w:val="20"/>
                <w:szCs w:val="22"/>
              </w:rPr>
              <w:t>Lease Fuel</w:t>
            </w:r>
          </w:p>
        </w:tc>
        <w:tc>
          <w:tcPr>
            <w:tcW w:w="1062" w:type="dxa"/>
            <w:shd w:val="clear" w:color="auto" w:fill="auto"/>
          </w:tcPr>
          <w:p w14:paraId="6A9E7D1D" w14:textId="77777777" w:rsidR="00BF46B4" w:rsidRPr="00D30BC1" w:rsidRDefault="00BF46B4" w:rsidP="00D30BC1">
            <w:pPr>
              <w:rPr>
                <w:rFonts w:ascii="Arial" w:hAnsi="Arial" w:cs="Arial"/>
                <w:sz w:val="18"/>
                <w:szCs w:val="22"/>
              </w:rPr>
            </w:pPr>
            <w:r w:rsidRPr="00D30BC1">
              <w:rPr>
                <w:rFonts w:ascii="Arial" w:hAnsi="Arial" w:cs="Arial"/>
                <w:sz w:val="18"/>
                <w:szCs w:val="22"/>
              </w:rPr>
              <w:t>2007 - 3.2.2</w:t>
            </w:r>
          </w:p>
        </w:tc>
        <w:tc>
          <w:tcPr>
            <w:tcW w:w="7202" w:type="dxa"/>
            <w:shd w:val="clear" w:color="auto" w:fill="auto"/>
            <w:tcMar>
              <w:top w:w="15" w:type="dxa"/>
              <w:left w:w="15" w:type="dxa"/>
              <w:bottom w:w="0" w:type="dxa"/>
              <w:right w:w="15" w:type="dxa"/>
            </w:tcMar>
          </w:tcPr>
          <w:p w14:paraId="5D32AF4E" w14:textId="77777777" w:rsidR="00BF46B4" w:rsidRPr="00D30BC1" w:rsidRDefault="00BF46B4" w:rsidP="00D30BC1">
            <w:pPr>
              <w:pStyle w:val="CommentText"/>
              <w:spacing w:after="120"/>
              <w:rPr>
                <w:rFonts w:ascii="Arial" w:hAnsi="Arial" w:cs="Arial"/>
                <w:szCs w:val="22"/>
              </w:rPr>
            </w:pPr>
            <w:r w:rsidRPr="00D30BC1">
              <w:rPr>
                <w:rFonts w:ascii="Arial" w:hAnsi="Arial" w:cs="Arial"/>
                <w:szCs w:val="22"/>
              </w:rPr>
              <w:t>Oil and/or gas used for field and processing plant operations. For consistency</w:t>
            </w:r>
            <w:r w:rsidR="00061C07" w:rsidRPr="00D30BC1">
              <w:rPr>
                <w:rFonts w:ascii="Arial" w:hAnsi="Arial" w:cs="Arial"/>
                <w:szCs w:val="22"/>
              </w:rPr>
              <w:t>,</w:t>
            </w:r>
            <w:r w:rsidRPr="00D30BC1">
              <w:rPr>
                <w:rFonts w:ascii="Arial" w:hAnsi="Arial" w:cs="Arial"/>
                <w:szCs w:val="22"/>
              </w:rPr>
              <w:t xml:space="preserve"> quantities consumed as lease fuel should be treated as shrinkage. </w:t>
            </w:r>
            <w:r w:rsidRPr="00D30BC1">
              <w:rPr>
                <w:rFonts w:ascii="Arial" w:hAnsi="Arial" w:cs="Arial"/>
              </w:rPr>
              <w:t>However, regulatory guidelines may allow lease fuel to be included in Reserves estimates.</w:t>
            </w:r>
            <w:r w:rsidRPr="00D30BC1">
              <w:rPr>
                <w:rFonts w:ascii="Arial" w:hAnsi="Arial" w:cs="Arial"/>
                <w:b/>
                <w:bCs/>
              </w:rPr>
              <w:t xml:space="preserve"> </w:t>
            </w:r>
            <w:r w:rsidRPr="00D30BC1">
              <w:rPr>
                <w:rFonts w:ascii="Arial" w:hAnsi="Arial" w:cs="Arial"/>
              </w:rPr>
              <w:t>Where claimed as Reserves, such fuel quantities should be reported separately from sales</w:t>
            </w:r>
            <w:r w:rsidR="00061C07" w:rsidRPr="00D30BC1">
              <w:rPr>
                <w:rFonts w:ascii="Arial" w:hAnsi="Arial" w:cs="Arial"/>
              </w:rPr>
              <w:t>,</w:t>
            </w:r>
            <w:r w:rsidRPr="00D30BC1">
              <w:rPr>
                <w:rFonts w:ascii="Arial" w:hAnsi="Arial" w:cs="Arial"/>
              </w:rPr>
              <w:t xml:space="preserve"> and their value must be included as an operating expense</w:t>
            </w:r>
            <w:r w:rsidR="00061C07" w:rsidRPr="00D30BC1">
              <w:rPr>
                <w:rFonts w:ascii="Arial" w:hAnsi="Arial" w:cs="Arial"/>
              </w:rPr>
              <w:t>.</w:t>
            </w:r>
          </w:p>
        </w:tc>
      </w:tr>
      <w:tr w:rsidR="00BF46B4" w:rsidRPr="00D30BC1" w14:paraId="73183BE1" w14:textId="77777777" w:rsidTr="00D30BC1">
        <w:trPr>
          <w:trHeight w:val="951"/>
        </w:trPr>
        <w:tc>
          <w:tcPr>
            <w:tcW w:w="1458" w:type="dxa"/>
            <w:shd w:val="clear" w:color="auto" w:fill="auto"/>
            <w:tcMar>
              <w:top w:w="15" w:type="dxa"/>
              <w:left w:w="15" w:type="dxa"/>
              <w:bottom w:w="0" w:type="dxa"/>
              <w:right w:w="15" w:type="dxa"/>
            </w:tcMar>
          </w:tcPr>
          <w:p w14:paraId="4110722A" w14:textId="77777777" w:rsidR="00BF46B4" w:rsidRPr="00D30BC1" w:rsidRDefault="00BF46B4" w:rsidP="00D30BC1">
            <w:pPr>
              <w:rPr>
                <w:rFonts w:ascii="Arial" w:hAnsi="Arial" w:cs="Arial"/>
                <w:sz w:val="20"/>
                <w:szCs w:val="22"/>
              </w:rPr>
            </w:pPr>
            <w:r w:rsidRPr="00D30BC1">
              <w:rPr>
                <w:rFonts w:ascii="Arial" w:hAnsi="Arial" w:cs="Arial"/>
                <w:sz w:val="20"/>
                <w:szCs w:val="22"/>
              </w:rPr>
              <w:t>Lease Plant</w:t>
            </w:r>
          </w:p>
        </w:tc>
        <w:tc>
          <w:tcPr>
            <w:tcW w:w="1062" w:type="dxa"/>
            <w:shd w:val="clear" w:color="auto" w:fill="auto"/>
          </w:tcPr>
          <w:p w14:paraId="2EF89A7D"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124B7019" w14:textId="77777777" w:rsidR="00BF46B4" w:rsidRPr="00D30BC1" w:rsidRDefault="00BF46B4" w:rsidP="00D30BC1">
            <w:pPr>
              <w:pStyle w:val="CommentText"/>
              <w:spacing w:after="120"/>
              <w:rPr>
                <w:rFonts w:ascii="Arial" w:hAnsi="Arial" w:cs="Arial"/>
                <w:sz w:val="16"/>
                <w:szCs w:val="22"/>
              </w:rPr>
            </w:pPr>
            <w:r w:rsidRPr="00D30BC1">
              <w:rPr>
                <w:rFonts w:ascii="Arial" w:hAnsi="Arial" w:cs="Arial"/>
                <w:szCs w:val="22"/>
              </w:rPr>
              <w:t xml:space="preserve">A general term referring to processing facilities that are dedicated to one or more development projects and the petroleum is processed without prior custody transfer from the owners of the extraction project (for gas projects, also termed </w:t>
            </w:r>
            <w:r w:rsidR="00C30824" w:rsidRPr="00D30BC1">
              <w:rPr>
                <w:rFonts w:cs="Arial"/>
                <w:sz w:val="18"/>
                <w:szCs w:val="22"/>
              </w:rPr>
              <w:t>“</w:t>
            </w:r>
            <w:r w:rsidRPr="00D30BC1">
              <w:rPr>
                <w:rFonts w:ascii="Arial" w:hAnsi="Arial" w:cs="Arial"/>
                <w:szCs w:val="22"/>
              </w:rPr>
              <w:t>Local Gas Plant</w:t>
            </w:r>
            <w:r w:rsidR="00C30824" w:rsidRPr="00D30BC1">
              <w:rPr>
                <w:rFonts w:cs="Arial"/>
                <w:sz w:val="18"/>
                <w:szCs w:val="22"/>
              </w:rPr>
              <w:t>”</w:t>
            </w:r>
            <w:r w:rsidRPr="00D30BC1">
              <w:rPr>
                <w:rFonts w:ascii="Arial" w:hAnsi="Arial" w:cs="Arial"/>
                <w:szCs w:val="22"/>
              </w:rPr>
              <w:t>).</w:t>
            </w:r>
          </w:p>
        </w:tc>
      </w:tr>
      <w:tr w:rsidR="00BF46B4" w:rsidRPr="00D30BC1" w14:paraId="0EAC692B" w14:textId="77777777" w:rsidTr="00D30BC1">
        <w:trPr>
          <w:trHeight w:val="607"/>
        </w:trPr>
        <w:tc>
          <w:tcPr>
            <w:tcW w:w="1458" w:type="dxa"/>
            <w:shd w:val="clear" w:color="auto" w:fill="auto"/>
            <w:tcMar>
              <w:top w:w="15" w:type="dxa"/>
              <w:left w:w="15" w:type="dxa"/>
              <w:bottom w:w="0" w:type="dxa"/>
              <w:right w:w="15" w:type="dxa"/>
            </w:tcMar>
          </w:tcPr>
          <w:p w14:paraId="03BE2DEA" w14:textId="77777777" w:rsidR="00BF46B4" w:rsidRPr="00D30BC1" w:rsidRDefault="00BF46B4" w:rsidP="00D30BC1">
            <w:pPr>
              <w:rPr>
                <w:rFonts w:ascii="Arial" w:hAnsi="Arial" w:cs="Arial"/>
                <w:sz w:val="20"/>
                <w:szCs w:val="22"/>
              </w:rPr>
            </w:pPr>
            <w:r w:rsidRPr="00D30BC1">
              <w:rPr>
                <w:rFonts w:ascii="Arial" w:hAnsi="Arial" w:cs="Arial"/>
                <w:sz w:val="20"/>
                <w:szCs w:val="22"/>
              </w:rPr>
              <w:t>Liquefied Natural Gas (LNG) Project</w:t>
            </w:r>
          </w:p>
        </w:tc>
        <w:tc>
          <w:tcPr>
            <w:tcW w:w="1062" w:type="dxa"/>
            <w:shd w:val="clear" w:color="auto" w:fill="auto"/>
          </w:tcPr>
          <w:p w14:paraId="31F41132"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7B4484ED" w14:textId="77777777" w:rsidR="00BF46B4" w:rsidRPr="00D30BC1" w:rsidRDefault="00BF46B4" w:rsidP="00D30BC1">
            <w:pPr>
              <w:pStyle w:val="BalloonText"/>
              <w:spacing w:after="120"/>
              <w:rPr>
                <w:rFonts w:ascii="Arial" w:hAnsi="Arial" w:cs="Arial"/>
                <w:szCs w:val="22"/>
              </w:rPr>
            </w:pPr>
            <w:r w:rsidRPr="00D30BC1">
              <w:rPr>
                <w:rFonts w:ascii="Arial" w:hAnsi="Arial" w:cs="Arial"/>
                <w:sz w:val="20"/>
                <w:szCs w:val="22"/>
              </w:rPr>
              <w:t>Liquefied Natural Gas projects use specialized cryogenic processing to convert natural gas into liquid form for tanker transport. LNG is about 1/</w:t>
            </w:r>
            <w:r w:rsidR="001A679E">
              <w:rPr>
                <w:rFonts w:ascii="Arial" w:hAnsi="Arial" w:cs="Arial"/>
                <w:sz w:val="20"/>
                <w:szCs w:val="22"/>
              </w:rPr>
              <w:t>6</w:t>
            </w:r>
            <w:r w:rsidRPr="00D30BC1">
              <w:rPr>
                <w:rFonts w:ascii="Arial" w:hAnsi="Arial" w:cs="Arial"/>
                <w:sz w:val="20"/>
                <w:szCs w:val="22"/>
              </w:rPr>
              <w:t>14 the volume of natural gas at standard temperature and pressure.</w:t>
            </w:r>
          </w:p>
        </w:tc>
      </w:tr>
      <w:tr w:rsidR="00BF46B4" w:rsidRPr="00D30BC1" w14:paraId="300BE04E" w14:textId="77777777" w:rsidTr="00D30BC1">
        <w:trPr>
          <w:trHeight w:val="877"/>
        </w:trPr>
        <w:tc>
          <w:tcPr>
            <w:tcW w:w="1458" w:type="dxa"/>
            <w:shd w:val="clear" w:color="auto" w:fill="auto"/>
            <w:tcMar>
              <w:top w:w="15" w:type="dxa"/>
              <w:left w:w="15" w:type="dxa"/>
              <w:bottom w:w="0" w:type="dxa"/>
              <w:right w:w="15" w:type="dxa"/>
            </w:tcMar>
          </w:tcPr>
          <w:p w14:paraId="074B4DD9"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Loan Agreement</w:t>
            </w:r>
          </w:p>
        </w:tc>
        <w:tc>
          <w:tcPr>
            <w:tcW w:w="1062" w:type="dxa"/>
            <w:shd w:val="clear" w:color="auto" w:fill="auto"/>
          </w:tcPr>
          <w:p w14:paraId="6EF62C49" w14:textId="77777777" w:rsidR="00BF46B4" w:rsidRPr="00D30BC1" w:rsidRDefault="00BF46B4" w:rsidP="00D30BC1">
            <w:pPr>
              <w:rPr>
                <w:rFonts w:ascii="Arial" w:hAnsi="Arial" w:cs="Arial"/>
                <w:sz w:val="18"/>
                <w:szCs w:val="22"/>
              </w:rPr>
            </w:pPr>
            <w:r w:rsidRPr="00D30BC1">
              <w:rPr>
                <w:rFonts w:ascii="Arial" w:hAnsi="Arial" w:cs="Arial"/>
                <w:sz w:val="18"/>
                <w:szCs w:val="22"/>
              </w:rPr>
              <w:t>2001 - 9.6.5</w:t>
            </w:r>
          </w:p>
        </w:tc>
        <w:tc>
          <w:tcPr>
            <w:tcW w:w="7202" w:type="dxa"/>
            <w:shd w:val="clear" w:color="auto" w:fill="auto"/>
            <w:tcMar>
              <w:top w:w="15" w:type="dxa"/>
              <w:left w:w="15" w:type="dxa"/>
              <w:bottom w:w="0" w:type="dxa"/>
              <w:right w:w="15" w:type="dxa"/>
            </w:tcMar>
          </w:tcPr>
          <w:p w14:paraId="750DDE08"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A loan agreement is typically used by a bank, other investor, or partner to finance all or part of an oil and gas project. Compensation for funds advanced is limited to a specified interest rate. </w:t>
            </w:r>
          </w:p>
        </w:tc>
      </w:tr>
    </w:tbl>
    <w:p w14:paraId="52A8CC81" w14:textId="77777777" w:rsidR="00E34576" w:rsidRPr="00D30BC1" w:rsidRDefault="00E34576" w:rsidP="00D30BC1">
      <w:r w:rsidRPr="00D30BC1">
        <w:br w:type="page"/>
      </w:r>
    </w:p>
    <w:tbl>
      <w:tblPr>
        <w:tblW w:w="972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8"/>
        <w:gridCol w:w="1062"/>
        <w:gridCol w:w="7202"/>
      </w:tblGrid>
      <w:tr w:rsidR="00BF46B4" w:rsidRPr="00D30BC1" w14:paraId="65C67250" w14:textId="77777777">
        <w:trPr>
          <w:trHeight w:val="546"/>
        </w:trPr>
        <w:tc>
          <w:tcPr>
            <w:tcW w:w="1458" w:type="dxa"/>
            <w:tcMar>
              <w:top w:w="15" w:type="dxa"/>
              <w:left w:w="15" w:type="dxa"/>
              <w:bottom w:w="0" w:type="dxa"/>
              <w:right w:w="15" w:type="dxa"/>
            </w:tcMar>
          </w:tcPr>
          <w:p w14:paraId="30BA453C"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Low/Best/High Estimates</w:t>
            </w:r>
          </w:p>
        </w:tc>
        <w:tc>
          <w:tcPr>
            <w:tcW w:w="1062" w:type="dxa"/>
          </w:tcPr>
          <w:p w14:paraId="74FED680" w14:textId="77777777" w:rsidR="00BF46B4" w:rsidRPr="00D30BC1" w:rsidRDefault="00BF46B4" w:rsidP="00D30BC1">
            <w:pPr>
              <w:rPr>
                <w:rFonts w:ascii="Arial" w:hAnsi="Arial" w:cs="Arial"/>
                <w:sz w:val="18"/>
                <w:szCs w:val="22"/>
              </w:rPr>
            </w:pPr>
            <w:r w:rsidRPr="00D30BC1">
              <w:rPr>
                <w:rFonts w:ascii="Arial" w:hAnsi="Arial" w:cs="Arial"/>
                <w:sz w:val="18"/>
                <w:szCs w:val="22"/>
              </w:rPr>
              <w:t>2007 - 2.2.1, 2.2.2</w:t>
            </w:r>
          </w:p>
        </w:tc>
        <w:tc>
          <w:tcPr>
            <w:tcW w:w="7202" w:type="dxa"/>
            <w:tcMar>
              <w:top w:w="15" w:type="dxa"/>
              <w:left w:w="15" w:type="dxa"/>
              <w:bottom w:w="0" w:type="dxa"/>
              <w:right w:w="15" w:type="dxa"/>
            </w:tcMar>
          </w:tcPr>
          <w:p w14:paraId="6F77E62E"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The range of uncertainty reflects a reasonable range of estimated potentially recoverable volumes at varying degrees of uncertainty (using the cumulative scenario approach) for an individual accumulation or a project. </w:t>
            </w:r>
          </w:p>
        </w:tc>
      </w:tr>
      <w:tr w:rsidR="00BF46B4" w:rsidRPr="00D30BC1" w14:paraId="1AF2EFC2" w14:textId="77777777">
        <w:trPr>
          <w:trHeight w:val="577"/>
        </w:trPr>
        <w:tc>
          <w:tcPr>
            <w:tcW w:w="1458" w:type="dxa"/>
            <w:tcMar>
              <w:top w:w="15" w:type="dxa"/>
              <w:left w:w="15" w:type="dxa"/>
              <w:bottom w:w="0" w:type="dxa"/>
              <w:right w:w="15" w:type="dxa"/>
            </w:tcMar>
          </w:tcPr>
          <w:p w14:paraId="091C4DCB" w14:textId="77777777" w:rsidR="00BF46B4" w:rsidRPr="00D30BC1" w:rsidRDefault="00BF46B4" w:rsidP="00D30BC1">
            <w:pPr>
              <w:rPr>
                <w:rFonts w:ascii="Arial" w:hAnsi="Arial" w:cs="Arial"/>
                <w:sz w:val="20"/>
                <w:szCs w:val="22"/>
              </w:rPr>
            </w:pPr>
            <w:r w:rsidRPr="00D30BC1">
              <w:rPr>
                <w:rFonts w:ascii="Arial" w:hAnsi="Arial" w:cs="Arial"/>
                <w:sz w:val="20"/>
                <w:szCs w:val="22"/>
              </w:rPr>
              <w:t>Low Estimate</w:t>
            </w:r>
          </w:p>
        </w:tc>
        <w:tc>
          <w:tcPr>
            <w:tcW w:w="1062" w:type="dxa"/>
          </w:tcPr>
          <w:p w14:paraId="1DE11959" w14:textId="77777777" w:rsidR="00BF46B4" w:rsidRPr="00D30BC1" w:rsidRDefault="00BF46B4" w:rsidP="00D30BC1">
            <w:pPr>
              <w:rPr>
                <w:rFonts w:ascii="Arial" w:hAnsi="Arial" w:cs="Arial"/>
                <w:sz w:val="18"/>
                <w:szCs w:val="22"/>
              </w:rPr>
            </w:pPr>
            <w:r w:rsidRPr="00D30BC1">
              <w:rPr>
                <w:rFonts w:ascii="Arial" w:hAnsi="Arial" w:cs="Arial"/>
                <w:sz w:val="18"/>
                <w:szCs w:val="22"/>
              </w:rPr>
              <w:t>2007 - 2.2.2</w:t>
            </w:r>
          </w:p>
          <w:p w14:paraId="5F963270" w14:textId="77777777" w:rsidR="00BF46B4" w:rsidRPr="00D30BC1" w:rsidRDefault="00BF46B4" w:rsidP="00D30BC1">
            <w:pPr>
              <w:rPr>
                <w:rFonts w:ascii="Arial" w:eastAsia="Arial Unicode MS" w:hAnsi="Arial" w:cs="Arial"/>
                <w:sz w:val="18"/>
                <w:szCs w:val="22"/>
              </w:rPr>
            </w:pPr>
            <w:r w:rsidRPr="00D30BC1">
              <w:rPr>
                <w:rFonts w:ascii="Arial" w:hAnsi="Arial" w:cs="Arial"/>
                <w:sz w:val="18"/>
                <w:szCs w:val="22"/>
              </w:rPr>
              <w:t xml:space="preserve">2001 </w:t>
            </w:r>
            <w:r w:rsidR="001902F9" w:rsidRPr="00D30BC1">
              <w:rPr>
                <w:rFonts w:ascii="Arial" w:hAnsi="Arial" w:cs="Arial"/>
                <w:sz w:val="18"/>
                <w:szCs w:val="22"/>
              </w:rPr>
              <w:t>-</w:t>
            </w:r>
            <w:r w:rsidRPr="00D30BC1">
              <w:rPr>
                <w:rFonts w:ascii="Arial" w:hAnsi="Arial" w:cs="Arial"/>
                <w:sz w:val="18"/>
                <w:szCs w:val="22"/>
              </w:rPr>
              <w:t xml:space="preserve"> 2.5</w:t>
            </w:r>
          </w:p>
        </w:tc>
        <w:tc>
          <w:tcPr>
            <w:tcW w:w="7202" w:type="dxa"/>
            <w:tcMar>
              <w:top w:w="15" w:type="dxa"/>
              <w:left w:w="15" w:type="dxa"/>
              <w:bottom w:w="0" w:type="dxa"/>
              <w:right w:w="15" w:type="dxa"/>
            </w:tcMar>
          </w:tcPr>
          <w:p w14:paraId="2019DAFD"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 xml:space="preserve">With respect to resource categorization, this is considered to be a conservative estimate of the quantity that will actually be recovered from the accumulation by a project. If probabilistic methods are used, </w:t>
            </w:r>
            <w:r w:rsidRPr="00D30BC1">
              <w:rPr>
                <w:rFonts w:ascii="Arial" w:hAnsi="Arial" w:cs="Arial"/>
                <w:sz w:val="20"/>
              </w:rPr>
              <w:t>there should be at least a 90% probability (P90) that the quantities actually recovered will equal or exceed the low estimate.</w:t>
            </w:r>
          </w:p>
        </w:tc>
      </w:tr>
      <w:tr w:rsidR="00BF46B4" w:rsidRPr="00D30BC1" w14:paraId="674EC2CD" w14:textId="77777777">
        <w:trPr>
          <w:trHeight w:val="577"/>
        </w:trPr>
        <w:tc>
          <w:tcPr>
            <w:tcW w:w="1458" w:type="dxa"/>
            <w:tcMar>
              <w:top w:w="15" w:type="dxa"/>
              <w:left w:w="15" w:type="dxa"/>
              <w:bottom w:w="0" w:type="dxa"/>
              <w:right w:w="15" w:type="dxa"/>
            </w:tcMar>
          </w:tcPr>
          <w:p w14:paraId="74E4A2C4"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Lowest Known Hydrocarbons</w:t>
            </w:r>
          </w:p>
        </w:tc>
        <w:tc>
          <w:tcPr>
            <w:tcW w:w="1062" w:type="dxa"/>
          </w:tcPr>
          <w:p w14:paraId="02452960"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2007 - 2.2.2.</w:t>
            </w:r>
          </w:p>
        </w:tc>
        <w:tc>
          <w:tcPr>
            <w:tcW w:w="7202" w:type="dxa"/>
            <w:tcMar>
              <w:top w:w="15" w:type="dxa"/>
              <w:left w:w="15" w:type="dxa"/>
              <w:bottom w:w="0" w:type="dxa"/>
              <w:right w:w="15" w:type="dxa"/>
            </w:tcMar>
          </w:tcPr>
          <w:p w14:paraId="3250F834"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 xml:space="preserve">The deepest occurrence of a producible hydrocarbon accumulation as interpreted from well log, flow test, pressure measurement, or core data. </w:t>
            </w:r>
          </w:p>
        </w:tc>
      </w:tr>
      <w:tr w:rsidR="00BF46B4" w:rsidRPr="00D30BC1" w14:paraId="2FD3F381" w14:textId="77777777">
        <w:trPr>
          <w:trHeight w:val="845"/>
        </w:trPr>
        <w:tc>
          <w:tcPr>
            <w:tcW w:w="1458" w:type="dxa"/>
            <w:tcMar>
              <w:top w:w="15" w:type="dxa"/>
              <w:left w:w="15" w:type="dxa"/>
              <w:bottom w:w="0" w:type="dxa"/>
              <w:right w:w="15" w:type="dxa"/>
            </w:tcMar>
          </w:tcPr>
          <w:p w14:paraId="53941022" w14:textId="77777777" w:rsidR="00BF46B4" w:rsidRPr="00D30BC1" w:rsidRDefault="00BF46B4" w:rsidP="00D30BC1">
            <w:pPr>
              <w:rPr>
                <w:rFonts w:ascii="Arial" w:hAnsi="Arial" w:cs="Arial"/>
                <w:sz w:val="20"/>
                <w:szCs w:val="22"/>
              </w:rPr>
            </w:pPr>
            <w:r w:rsidRPr="00D30BC1">
              <w:rPr>
                <w:rFonts w:ascii="Arial" w:hAnsi="Arial" w:cs="Arial"/>
                <w:sz w:val="20"/>
                <w:szCs w:val="22"/>
              </w:rPr>
              <w:t>Marginal Contingent Resources</w:t>
            </w:r>
          </w:p>
        </w:tc>
        <w:tc>
          <w:tcPr>
            <w:tcW w:w="1062" w:type="dxa"/>
          </w:tcPr>
          <w:p w14:paraId="723BC423" w14:textId="77777777" w:rsidR="00BF46B4" w:rsidRPr="00D30BC1" w:rsidRDefault="00BF46B4" w:rsidP="00D30BC1">
            <w:pPr>
              <w:rPr>
                <w:rFonts w:ascii="Arial" w:hAnsi="Arial" w:cs="Arial"/>
                <w:sz w:val="18"/>
                <w:szCs w:val="22"/>
              </w:rPr>
            </w:pPr>
            <w:r w:rsidRPr="00D30BC1">
              <w:rPr>
                <w:rFonts w:ascii="Arial" w:hAnsi="Arial" w:cs="Arial"/>
                <w:sz w:val="18"/>
                <w:szCs w:val="22"/>
              </w:rPr>
              <w:t>2007 - 2.1.3.3</w:t>
            </w:r>
          </w:p>
        </w:tc>
        <w:tc>
          <w:tcPr>
            <w:tcW w:w="7202" w:type="dxa"/>
            <w:tcMar>
              <w:top w:w="15" w:type="dxa"/>
              <w:left w:w="15" w:type="dxa"/>
              <w:bottom w:w="0" w:type="dxa"/>
              <w:right w:w="15" w:type="dxa"/>
            </w:tcMar>
          </w:tcPr>
          <w:p w14:paraId="79E0601B"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Known (discovered) accumulations for which a development project(s) has been evaluated as economic or reasonably expected to become economic but commitment is withheld because of one or more contingencies (e.g.</w:t>
            </w:r>
            <w:r w:rsidR="001902F9" w:rsidRPr="00D30BC1">
              <w:rPr>
                <w:rFonts w:ascii="Arial" w:hAnsi="Arial" w:cs="Arial"/>
                <w:sz w:val="20"/>
                <w:szCs w:val="22"/>
              </w:rPr>
              <w:t>,</w:t>
            </w:r>
            <w:r w:rsidRPr="00D30BC1">
              <w:rPr>
                <w:rFonts w:ascii="Arial" w:hAnsi="Arial" w:cs="Arial"/>
                <w:sz w:val="20"/>
                <w:szCs w:val="22"/>
              </w:rPr>
              <w:t xml:space="preserve"> lack of market and/or infrastructure).</w:t>
            </w:r>
          </w:p>
        </w:tc>
      </w:tr>
      <w:tr w:rsidR="00BF46B4" w:rsidRPr="00D30BC1" w14:paraId="545362FD" w14:textId="77777777">
        <w:trPr>
          <w:trHeight w:val="845"/>
        </w:trPr>
        <w:tc>
          <w:tcPr>
            <w:tcW w:w="1458" w:type="dxa"/>
            <w:tcMar>
              <w:top w:w="15" w:type="dxa"/>
              <w:left w:w="15" w:type="dxa"/>
              <w:bottom w:w="0" w:type="dxa"/>
              <w:right w:w="15" w:type="dxa"/>
            </w:tcMar>
          </w:tcPr>
          <w:p w14:paraId="713173E7" w14:textId="77777777" w:rsidR="00BF46B4" w:rsidRPr="00D30BC1" w:rsidRDefault="00BF46B4" w:rsidP="00D30BC1">
            <w:pPr>
              <w:rPr>
                <w:rFonts w:ascii="Arial" w:hAnsi="Arial" w:cs="Arial"/>
                <w:sz w:val="20"/>
                <w:szCs w:val="22"/>
              </w:rPr>
            </w:pPr>
            <w:r w:rsidRPr="00D30BC1">
              <w:rPr>
                <w:rFonts w:ascii="Arial" w:hAnsi="Arial" w:cs="Arial"/>
                <w:sz w:val="20"/>
                <w:szCs w:val="22"/>
              </w:rPr>
              <w:t>Measurement</w:t>
            </w:r>
          </w:p>
        </w:tc>
        <w:tc>
          <w:tcPr>
            <w:tcW w:w="1062" w:type="dxa"/>
          </w:tcPr>
          <w:p w14:paraId="11384F2B" w14:textId="77777777" w:rsidR="00BF46B4" w:rsidRPr="00D30BC1" w:rsidRDefault="00BF46B4" w:rsidP="00D30BC1">
            <w:pPr>
              <w:rPr>
                <w:rFonts w:ascii="Arial" w:hAnsi="Arial" w:cs="Arial"/>
                <w:sz w:val="18"/>
                <w:szCs w:val="22"/>
              </w:rPr>
            </w:pPr>
            <w:r w:rsidRPr="00D30BC1">
              <w:rPr>
                <w:rFonts w:ascii="Arial" w:hAnsi="Arial" w:cs="Arial"/>
                <w:sz w:val="18"/>
                <w:szCs w:val="22"/>
              </w:rPr>
              <w:t>2007 - 3.0</w:t>
            </w:r>
          </w:p>
        </w:tc>
        <w:tc>
          <w:tcPr>
            <w:tcW w:w="7202" w:type="dxa"/>
            <w:tcMar>
              <w:top w:w="15" w:type="dxa"/>
              <w:left w:w="15" w:type="dxa"/>
              <w:bottom w:w="0" w:type="dxa"/>
              <w:right w:w="15" w:type="dxa"/>
            </w:tcMar>
          </w:tcPr>
          <w:p w14:paraId="3841EDFA"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The process of establishing quantity (volume or mass) and quality of petroleum products delivered to a reference point under conditions defined by delivery contract or regulatory authorities.</w:t>
            </w:r>
          </w:p>
        </w:tc>
      </w:tr>
      <w:tr w:rsidR="00BF46B4" w:rsidRPr="00D30BC1" w14:paraId="1BA5B0E8" w14:textId="77777777">
        <w:trPr>
          <w:trHeight w:val="2028"/>
        </w:trPr>
        <w:tc>
          <w:tcPr>
            <w:tcW w:w="1458" w:type="dxa"/>
            <w:tcMar>
              <w:top w:w="15" w:type="dxa"/>
              <w:left w:w="15" w:type="dxa"/>
              <w:bottom w:w="0" w:type="dxa"/>
              <w:right w:w="15" w:type="dxa"/>
            </w:tcMar>
          </w:tcPr>
          <w:p w14:paraId="1E097594"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Mineral Interest</w:t>
            </w:r>
          </w:p>
        </w:tc>
        <w:tc>
          <w:tcPr>
            <w:tcW w:w="1062" w:type="dxa"/>
          </w:tcPr>
          <w:p w14:paraId="6BF0774B" w14:textId="77777777" w:rsidR="00BF46B4" w:rsidRPr="00D30BC1" w:rsidRDefault="00BF46B4" w:rsidP="00D30BC1">
            <w:pPr>
              <w:rPr>
                <w:rFonts w:ascii="Arial" w:hAnsi="Arial" w:cs="Arial"/>
                <w:sz w:val="18"/>
                <w:szCs w:val="22"/>
              </w:rPr>
            </w:pPr>
            <w:r w:rsidRPr="00D30BC1">
              <w:rPr>
                <w:rFonts w:ascii="Arial" w:hAnsi="Arial" w:cs="Arial"/>
                <w:sz w:val="18"/>
                <w:szCs w:val="22"/>
              </w:rPr>
              <w:t>2001 - 9.3</w:t>
            </w:r>
          </w:p>
        </w:tc>
        <w:tc>
          <w:tcPr>
            <w:tcW w:w="7202" w:type="dxa"/>
            <w:tcMar>
              <w:top w:w="15" w:type="dxa"/>
              <w:left w:w="15" w:type="dxa"/>
              <w:bottom w:w="0" w:type="dxa"/>
              <w:right w:w="15" w:type="dxa"/>
            </w:tcMar>
          </w:tcPr>
          <w:p w14:paraId="031D71DC"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Mineral Interests in properties including (</w:t>
            </w:r>
            <w:r w:rsidR="001902F9" w:rsidRPr="00D30BC1">
              <w:rPr>
                <w:rFonts w:ascii="Arial" w:hAnsi="Arial" w:cs="Arial"/>
                <w:sz w:val="20"/>
                <w:szCs w:val="22"/>
              </w:rPr>
              <w:t>1</w:t>
            </w:r>
            <w:r w:rsidRPr="00D30BC1">
              <w:rPr>
                <w:rFonts w:ascii="Arial" w:hAnsi="Arial" w:cs="Arial"/>
                <w:sz w:val="20"/>
                <w:szCs w:val="22"/>
              </w:rPr>
              <w:t xml:space="preserve">) a fee ownership or lease, concession, or other interest representing the right to extract oil or gas subject to such terms as may be imposed by </w:t>
            </w:r>
            <w:r w:rsidR="001902F9" w:rsidRPr="00D30BC1">
              <w:rPr>
                <w:rFonts w:ascii="Arial" w:hAnsi="Arial" w:cs="Arial"/>
                <w:sz w:val="20"/>
                <w:szCs w:val="22"/>
              </w:rPr>
              <w:t>the conveyance of that interest;</w:t>
            </w:r>
            <w:r w:rsidRPr="00D30BC1">
              <w:rPr>
                <w:rFonts w:ascii="Arial" w:hAnsi="Arial" w:cs="Arial"/>
                <w:sz w:val="20"/>
                <w:szCs w:val="22"/>
              </w:rPr>
              <w:t xml:space="preserve"> (</w:t>
            </w:r>
            <w:r w:rsidR="001902F9" w:rsidRPr="00D30BC1">
              <w:rPr>
                <w:rFonts w:ascii="Arial" w:hAnsi="Arial" w:cs="Arial"/>
                <w:sz w:val="20"/>
                <w:szCs w:val="22"/>
              </w:rPr>
              <w:t>2</w:t>
            </w:r>
            <w:r w:rsidRPr="00D30BC1">
              <w:rPr>
                <w:rFonts w:ascii="Arial" w:hAnsi="Arial" w:cs="Arial"/>
                <w:sz w:val="20"/>
                <w:szCs w:val="22"/>
              </w:rPr>
              <w:t>) royalty interests, production payments payable in oil or gas, and other non-operating interests in</w:t>
            </w:r>
            <w:r w:rsidR="001902F9" w:rsidRPr="00D30BC1">
              <w:rPr>
                <w:rFonts w:ascii="Arial" w:hAnsi="Arial" w:cs="Arial"/>
                <w:sz w:val="20"/>
                <w:szCs w:val="22"/>
              </w:rPr>
              <w:t xml:space="preserve"> properties operated by others; and (3</w:t>
            </w:r>
            <w:r w:rsidRPr="00D30BC1">
              <w:rPr>
                <w:rFonts w:ascii="Arial" w:hAnsi="Arial" w:cs="Arial"/>
                <w:sz w:val="20"/>
                <w:szCs w:val="22"/>
              </w:rPr>
              <w:t xml:space="preserve">) those agreements with foreign governments or authorities under which a reporting entity participates in the operation of the related properties or otherwise serves as producer of the underlying reserves (as opposed to being an independent purchaser, broker, dealer, or importer). </w:t>
            </w:r>
          </w:p>
        </w:tc>
      </w:tr>
      <w:tr w:rsidR="00BF46B4" w:rsidRPr="00D30BC1" w14:paraId="11189F0B" w14:textId="77777777">
        <w:trPr>
          <w:trHeight w:val="967"/>
        </w:trPr>
        <w:tc>
          <w:tcPr>
            <w:tcW w:w="1458" w:type="dxa"/>
            <w:tcMar>
              <w:top w:w="15" w:type="dxa"/>
              <w:left w:w="15" w:type="dxa"/>
              <w:bottom w:w="0" w:type="dxa"/>
              <w:right w:w="15" w:type="dxa"/>
            </w:tcMar>
          </w:tcPr>
          <w:p w14:paraId="3E807FA9"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Monte Carlo Simulation</w:t>
            </w:r>
          </w:p>
        </w:tc>
        <w:tc>
          <w:tcPr>
            <w:tcW w:w="1062" w:type="dxa"/>
          </w:tcPr>
          <w:p w14:paraId="62AE5CE5"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2001 </w:t>
            </w:r>
            <w:r w:rsidR="001902F9" w:rsidRPr="00D30BC1">
              <w:rPr>
                <w:rFonts w:ascii="Arial" w:hAnsi="Arial" w:cs="Arial"/>
                <w:sz w:val="18"/>
                <w:szCs w:val="22"/>
              </w:rPr>
              <w:t>-</w:t>
            </w:r>
            <w:r w:rsidRPr="00D30BC1">
              <w:rPr>
                <w:rFonts w:ascii="Arial" w:hAnsi="Arial" w:cs="Arial"/>
                <w:sz w:val="18"/>
                <w:szCs w:val="22"/>
              </w:rPr>
              <w:t xml:space="preserve"> 5</w:t>
            </w:r>
          </w:p>
          <w:p w14:paraId="562EA99D" w14:textId="77777777" w:rsidR="00BF46B4" w:rsidRPr="00D30BC1" w:rsidRDefault="00BF46B4" w:rsidP="00D30BC1">
            <w:pPr>
              <w:rPr>
                <w:rFonts w:ascii="Arial" w:hAnsi="Arial" w:cs="Arial"/>
                <w:sz w:val="18"/>
                <w:szCs w:val="22"/>
              </w:rPr>
            </w:pPr>
            <w:r w:rsidRPr="00D30BC1">
              <w:rPr>
                <w:rFonts w:ascii="Arial" w:hAnsi="Arial" w:cs="Arial"/>
                <w:sz w:val="18"/>
                <w:szCs w:val="22"/>
              </w:rPr>
              <w:t>2007 - 3.5</w:t>
            </w:r>
          </w:p>
        </w:tc>
        <w:tc>
          <w:tcPr>
            <w:tcW w:w="7202" w:type="dxa"/>
            <w:tcMar>
              <w:top w:w="15" w:type="dxa"/>
              <w:left w:w="15" w:type="dxa"/>
              <w:bottom w:w="0" w:type="dxa"/>
              <w:right w:w="15" w:type="dxa"/>
            </w:tcMar>
          </w:tcPr>
          <w:p w14:paraId="572DBF81"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A type of stochastic mathematical simulation that randomly and repeatedly samples input distributions (e.g.</w:t>
            </w:r>
            <w:r w:rsidR="001902F9" w:rsidRPr="00D30BC1">
              <w:rPr>
                <w:rFonts w:ascii="Arial" w:hAnsi="Arial" w:cs="Arial"/>
                <w:sz w:val="20"/>
                <w:szCs w:val="22"/>
              </w:rPr>
              <w:t>,</w:t>
            </w:r>
            <w:r w:rsidRPr="00D30BC1">
              <w:rPr>
                <w:rFonts w:ascii="Arial" w:hAnsi="Arial" w:cs="Arial"/>
                <w:sz w:val="20"/>
                <w:szCs w:val="22"/>
              </w:rPr>
              <w:t xml:space="preserve"> reservoir properties) to generate a resulting distribution (e.g., recoverable petroleum volumes).</w:t>
            </w:r>
          </w:p>
        </w:tc>
      </w:tr>
      <w:tr w:rsidR="00BF46B4" w:rsidRPr="00D30BC1" w14:paraId="045B4E35" w14:textId="77777777">
        <w:trPr>
          <w:trHeight w:val="1492"/>
        </w:trPr>
        <w:tc>
          <w:tcPr>
            <w:tcW w:w="1458" w:type="dxa"/>
            <w:tcMar>
              <w:top w:w="15" w:type="dxa"/>
              <w:left w:w="15" w:type="dxa"/>
              <w:bottom w:w="0" w:type="dxa"/>
              <w:right w:w="15" w:type="dxa"/>
            </w:tcMar>
          </w:tcPr>
          <w:p w14:paraId="789A210A" w14:textId="77777777" w:rsidR="00BF46B4" w:rsidRPr="00D30BC1" w:rsidRDefault="00BF46B4" w:rsidP="00D30BC1">
            <w:pPr>
              <w:rPr>
                <w:rFonts w:ascii="Arial" w:eastAsia="Arial Unicode MS" w:hAnsi="Arial" w:cs="Arial"/>
                <w:sz w:val="20"/>
                <w:szCs w:val="22"/>
              </w:rPr>
            </w:pPr>
            <w:r w:rsidRPr="00D30BC1">
              <w:rPr>
                <w:rFonts w:ascii="Arial" w:eastAsia="Arial Unicode MS" w:hAnsi="Arial" w:cs="Arial"/>
                <w:sz w:val="20"/>
                <w:szCs w:val="22"/>
              </w:rPr>
              <w:t>Natural Bitumen</w:t>
            </w:r>
          </w:p>
        </w:tc>
        <w:tc>
          <w:tcPr>
            <w:tcW w:w="1062" w:type="dxa"/>
          </w:tcPr>
          <w:p w14:paraId="4BF277BD" w14:textId="77777777" w:rsidR="00BF46B4" w:rsidRPr="00D30BC1" w:rsidRDefault="00BF46B4" w:rsidP="00D30BC1">
            <w:pPr>
              <w:rPr>
                <w:rFonts w:ascii="Arial" w:hAnsi="Arial" w:cs="Arial"/>
                <w:sz w:val="18"/>
                <w:szCs w:val="22"/>
              </w:rPr>
            </w:pPr>
            <w:r w:rsidRPr="00D30BC1">
              <w:rPr>
                <w:rFonts w:ascii="Arial" w:hAnsi="Arial" w:cs="Arial"/>
                <w:sz w:val="18"/>
                <w:szCs w:val="22"/>
              </w:rPr>
              <w:t>2007 - 2.4</w:t>
            </w:r>
          </w:p>
        </w:tc>
        <w:tc>
          <w:tcPr>
            <w:tcW w:w="7202" w:type="dxa"/>
            <w:tcMar>
              <w:top w:w="15" w:type="dxa"/>
              <w:left w:w="15" w:type="dxa"/>
              <w:bottom w:w="0" w:type="dxa"/>
              <w:right w:w="15" w:type="dxa"/>
            </w:tcMar>
          </w:tcPr>
          <w:p w14:paraId="2FE87849"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Natural Bitumen is the portion of pe</w:t>
            </w:r>
            <w:r w:rsidR="00EB5B27" w:rsidRPr="00D30BC1">
              <w:rPr>
                <w:rFonts w:ascii="Arial" w:hAnsi="Arial" w:cs="Arial"/>
                <w:sz w:val="20"/>
                <w:szCs w:val="22"/>
              </w:rPr>
              <w:t>troleum that exists in the semi</w:t>
            </w:r>
            <w:r w:rsidRPr="00D30BC1">
              <w:rPr>
                <w:rFonts w:ascii="Arial" w:hAnsi="Arial" w:cs="Arial"/>
                <w:sz w:val="20"/>
                <w:szCs w:val="22"/>
              </w:rPr>
              <w:t>solid or solid phase in natural deposits. In its natural state</w:t>
            </w:r>
            <w:r w:rsidR="00EB5B27" w:rsidRPr="00D30BC1">
              <w:rPr>
                <w:rFonts w:ascii="Arial" w:hAnsi="Arial" w:cs="Arial"/>
                <w:sz w:val="20"/>
                <w:szCs w:val="22"/>
              </w:rPr>
              <w:t>,</w:t>
            </w:r>
            <w:r w:rsidRPr="00D30BC1">
              <w:rPr>
                <w:rFonts w:ascii="Arial" w:hAnsi="Arial" w:cs="Arial"/>
                <w:sz w:val="20"/>
                <w:szCs w:val="22"/>
              </w:rPr>
              <w:t xml:space="preserve"> it usually contains sulfur, metals</w:t>
            </w:r>
            <w:r w:rsidR="00EB5B27" w:rsidRPr="00D30BC1">
              <w:rPr>
                <w:rFonts w:ascii="Arial" w:hAnsi="Arial" w:cs="Arial"/>
                <w:sz w:val="20"/>
                <w:szCs w:val="22"/>
              </w:rPr>
              <w:t>,</w:t>
            </w:r>
            <w:r w:rsidRPr="00D30BC1">
              <w:rPr>
                <w:rFonts w:ascii="Arial" w:hAnsi="Arial" w:cs="Arial"/>
                <w:sz w:val="20"/>
                <w:szCs w:val="22"/>
              </w:rPr>
              <w:t xml:space="preserve"> and other non-hydrocarbons. Natural Bitumen has a viscosity greater than 10,000 milliPascals per second (mPa.s) (or centipoises) measured at original temperature in the deposit and atmospheric pressure, on a gas free basis. In its natural viscous state, it is not normally recoverable at commercial rates through a well and requires the implementation of improved recovery methods such as steam injection. Natural Bitumen generally requires upgrading prior to normal refining.  (Also called Crude Bitumen</w:t>
            </w:r>
            <w:r w:rsidR="00EB5B27" w:rsidRPr="00D30BC1">
              <w:rPr>
                <w:rFonts w:ascii="Arial" w:hAnsi="Arial" w:cs="Arial"/>
                <w:sz w:val="20"/>
                <w:szCs w:val="22"/>
              </w:rPr>
              <w:t>.</w:t>
            </w:r>
            <w:r w:rsidRPr="00D30BC1">
              <w:rPr>
                <w:rFonts w:ascii="Arial" w:hAnsi="Arial" w:cs="Arial"/>
                <w:sz w:val="20"/>
                <w:szCs w:val="22"/>
              </w:rPr>
              <w:t>)</w:t>
            </w:r>
          </w:p>
        </w:tc>
      </w:tr>
      <w:tr w:rsidR="00BF46B4" w:rsidRPr="00D30BC1" w14:paraId="25454659" w14:textId="77777777">
        <w:trPr>
          <w:trHeight w:val="977"/>
        </w:trPr>
        <w:tc>
          <w:tcPr>
            <w:tcW w:w="1458" w:type="dxa"/>
            <w:tcMar>
              <w:top w:w="15" w:type="dxa"/>
              <w:left w:w="15" w:type="dxa"/>
              <w:bottom w:w="0" w:type="dxa"/>
              <w:right w:w="15" w:type="dxa"/>
            </w:tcMar>
          </w:tcPr>
          <w:p w14:paraId="3DD3F7E2"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Natural Gas</w:t>
            </w:r>
          </w:p>
        </w:tc>
        <w:tc>
          <w:tcPr>
            <w:tcW w:w="1062" w:type="dxa"/>
          </w:tcPr>
          <w:p w14:paraId="07D96E86" w14:textId="77777777" w:rsidR="00BF46B4" w:rsidRPr="00D30BC1" w:rsidRDefault="00BF46B4" w:rsidP="00D30BC1">
            <w:pPr>
              <w:rPr>
                <w:rFonts w:ascii="Arial" w:hAnsi="Arial" w:cs="Arial"/>
                <w:sz w:val="18"/>
                <w:szCs w:val="22"/>
              </w:rPr>
            </w:pPr>
            <w:r w:rsidRPr="00D30BC1">
              <w:rPr>
                <w:rFonts w:ascii="Arial" w:hAnsi="Arial" w:cs="Arial"/>
                <w:sz w:val="18"/>
                <w:szCs w:val="22"/>
              </w:rPr>
              <w:t>2007 - 3.2.3</w:t>
            </w:r>
          </w:p>
          <w:p w14:paraId="3B71C0DA" w14:textId="77777777" w:rsidR="00BF46B4" w:rsidRPr="00D30BC1" w:rsidRDefault="00BF46B4" w:rsidP="00D30BC1">
            <w:pPr>
              <w:rPr>
                <w:rFonts w:ascii="Arial" w:hAnsi="Arial" w:cs="Arial"/>
                <w:sz w:val="18"/>
                <w:szCs w:val="22"/>
              </w:rPr>
            </w:pPr>
            <w:r w:rsidRPr="00D30BC1">
              <w:rPr>
                <w:rFonts w:ascii="Arial" w:hAnsi="Arial" w:cs="Arial"/>
                <w:sz w:val="18"/>
                <w:szCs w:val="22"/>
              </w:rPr>
              <w:t>2001 - 6.6, 9.4.4</w:t>
            </w:r>
          </w:p>
        </w:tc>
        <w:tc>
          <w:tcPr>
            <w:tcW w:w="7202" w:type="dxa"/>
            <w:tcMar>
              <w:top w:w="15" w:type="dxa"/>
              <w:left w:w="15" w:type="dxa"/>
              <w:bottom w:w="0" w:type="dxa"/>
              <w:right w:w="15" w:type="dxa"/>
            </w:tcMar>
          </w:tcPr>
          <w:p w14:paraId="1600518D"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Natural Gas is the portion of petroleum that exists either in the gaseous phase or is in solution in crude oil in natural underground reservoirs, and which is gaseous at atmospheric conditions of pressure and temperature. Natural Gas may include some amount of non-hydrocarbons.</w:t>
            </w:r>
          </w:p>
        </w:tc>
      </w:tr>
    </w:tbl>
    <w:p w14:paraId="6DA879AE" w14:textId="77777777" w:rsidR="00B5367C" w:rsidRPr="00D30BC1" w:rsidRDefault="00B5367C" w:rsidP="00D30BC1">
      <w:r w:rsidRPr="00D30BC1">
        <w:br w:type="page"/>
      </w:r>
    </w:p>
    <w:tbl>
      <w:tblPr>
        <w:tblW w:w="972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8"/>
        <w:gridCol w:w="1062"/>
        <w:gridCol w:w="7202"/>
      </w:tblGrid>
      <w:tr w:rsidR="00BF46B4" w:rsidRPr="00D30BC1" w14:paraId="4C70B9AF" w14:textId="77777777" w:rsidTr="00D30BC1">
        <w:trPr>
          <w:trHeight w:val="563"/>
        </w:trPr>
        <w:tc>
          <w:tcPr>
            <w:tcW w:w="1458" w:type="dxa"/>
            <w:shd w:val="clear" w:color="auto" w:fill="auto"/>
            <w:tcMar>
              <w:top w:w="15" w:type="dxa"/>
              <w:left w:w="15" w:type="dxa"/>
              <w:bottom w:w="0" w:type="dxa"/>
              <w:right w:w="15" w:type="dxa"/>
            </w:tcMar>
          </w:tcPr>
          <w:p w14:paraId="7350EEA3" w14:textId="77777777" w:rsidR="00BF46B4" w:rsidRPr="00D30BC1" w:rsidRDefault="00BF46B4" w:rsidP="00D30BC1">
            <w:pPr>
              <w:rPr>
                <w:rFonts w:ascii="Arial" w:hAnsi="Arial" w:cs="Arial"/>
                <w:sz w:val="20"/>
                <w:szCs w:val="22"/>
              </w:rPr>
            </w:pPr>
            <w:r w:rsidRPr="00D30BC1">
              <w:rPr>
                <w:rFonts w:ascii="Arial" w:hAnsi="Arial" w:cs="Arial"/>
                <w:sz w:val="20"/>
                <w:szCs w:val="22"/>
              </w:rPr>
              <w:t>Natural Gas Inventory</w:t>
            </w:r>
          </w:p>
        </w:tc>
        <w:tc>
          <w:tcPr>
            <w:tcW w:w="1062" w:type="dxa"/>
            <w:shd w:val="clear" w:color="auto" w:fill="auto"/>
          </w:tcPr>
          <w:p w14:paraId="02DFC8BF"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5E24FFA8"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 xml:space="preserve">With respect to underground natural gas storage operations </w:t>
            </w:r>
            <w:r w:rsidR="00C30824" w:rsidRPr="00D30BC1">
              <w:rPr>
                <w:rFonts w:cs="Arial"/>
                <w:sz w:val="18"/>
                <w:szCs w:val="22"/>
              </w:rPr>
              <w:t>“</w:t>
            </w:r>
            <w:r w:rsidRPr="00D30BC1">
              <w:rPr>
                <w:rFonts w:ascii="Arial" w:hAnsi="Arial" w:cs="Arial"/>
                <w:sz w:val="20"/>
                <w:szCs w:val="22"/>
              </w:rPr>
              <w:t>inventory</w:t>
            </w:r>
            <w:r w:rsidR="00C30824" w:rsidRPr="00D30BC1">
              <w:rPr>
                <w:rFonts w:cs="Arial"/>
                <w:sz w:val="18"/>
                <w:szCs w:val="22"/>
              </w:rPr>
              <w:t>”</w:t>
            </w:r>
            <w:r w:rsidRPr="00D30BC1">
              <w:rPr>
                <w:rFonts w:ascii="Arial" w:hAnsi="Arial" w:cs="Arial"/>
                <w:sz w:val="20"/>
                <w:szCs w:val="22"/>
              </w:rPr>
              <w:t xml:space="preserve"> is the total of working and cushion gas volumes.</w:t>
            </w:r>
          </w:p>
        </w:tc>
      </w:tr>
      <w:tr w:rsidR="00BF46B4" w:rsidRPr="00D30BC1" w14:paraId="122667FF" w14:textId="77777777" w:rsidTr="00D30BC1">
        <w:trPr>
          <w:trHeight w:val="845"/>
        </w:trPr>
        <w:tc>
          <w:tcPr>
            <w:tcW w:w="1458" w:type="dxa"/>
            <w:shd w:val="clear" w:color="auto" w:fill="auto"/>
            <w:tcMar>
              <w:top w:w="15" w:type="dxa"/>
              <w:left w:w="15" w:type="dxa"/>
              <w:bottom w:w="0" w:type="dxa"/>
              <w:right w:w="15" w:type="dxa"/>
            </w:tcMar>
          </w:tcPr>
          <w:p w14:paraId="1B903D67"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Natural Gas Liquids</w:t>
            </w:r>
          </w:p>
        </w:tc>
        <w:tc>
          <w:tcPr>
            <w:tcW w:w="1062" w:type="dxa"/>
            <w:shd w:val="clear" w:color="auto" w:fill="auto"/>
          </w:tcPr>
          <w:p w14:paraId="07904F32" w14:textId="77777777" w:rsidR="00BF46B4" w:rsidRPr="00D30BC1" w:rsidRDefault="00BF46B4" w:rsidP="00D30BC1">
            <w:pPr>
              <w:rPr>
                <w:rFonts w:ascii="Arial" w:hAnsi="Arial" w:cs="Arial"/>
                <w:sz w:val="18"/>
                <w:szCs w:val="22"/>
              </w:rPr>
            </w:pPr>
            <w:r w:rsidRPr="00D30BC1">
              <w:rPr>
                <w:rFonts w:ascii="Arial" w:hAnsi="Arial" w:cs="Arial"/>
                <w:sz w:val="18"/>
                <w:szCs w:val="22"/>
              </w:rPr>
              <w:t>2007 - A13</w:t>
            </w:r>
          </w:p>
          <w:p w14:paraId="463ADC2C" w14:textId="77777777" w:rsidR="00BF46B4" w:rsidRPr="00D30BC1" w:rsidRDefault="00BF46B4" w:rsidP="00D30BC1">
            <w:pPr>
              <w:rPr>
                <w:rFonts w:ascii="Arial" w:hAnsi="Arial" w:cs="Arial"/>
                <w:sz w:val="18"/>
                <w:szCs w:val="22"/>
              </w:rPr>
            </w:pPr>
            <w:r w:rsidRPr="00D30BC1">
              <w:rPr>
                <w:rFonts w:ascii="Arial" w:hAnsi="Arial" w:cs="Arial"/>
                <w:sz w:val="18"/>
                <w:szCs w:val="22"/>
              </w:rPr>
              <w:t>2001 - 3.2, 9.4.4</w:t>
            </w:r>
          </w:p>
        </w:tc>
        <w:tc>
          <w:tcPr>
            <w:tcW w:w="7202" w:type="dxa"/>
            <w:shd w:val="clear" w:color="auto" w:fill="auto"/>
            <w:tcMar>
              <w:top w:w="15" w:type="dxa"/>
              <w:left w:w="15" w:type="dxa"/>
              <w:bottom w:w="0" w:type="dxa"/>
              <w:right w:w="15" w:type="dxa"/>
            </w:tcMar>
          </w:tcPr>
          <w:p w14:paraId="5B1D67DD"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Natural Gas Liquids (NGL) are a mixture of light hydrocarbons that exist in the gaseous phase and are recovered as liquids in gas processing plants. NGL differs from condensate in two principal respects: </w:t>
            </w:r>
            <w:r w:rsidR="009960F1" w:rsidRPr="00D30BC1">
              <w:rPr>
                <w:rFonts w:ascii="Arial" w:hAnsi="Arial" w:cs="Arial"/>
                <w:sz w:val="20"/>
                <w:szCs w:val="22"/>
              </w:rPr>
              <w:t>(</w:t>
            </w:r>
            <w:r w:rsidRPr="00D30BC1">
              <w:rPr>
                <w:rFonts w:ascii="Arial" w:hAnsi="Arial" w:cs="Arial"/>
                <w:sz w:val="20"/>
                <w:szCs w:val="22"/>
              </w:rPr>
              <w:t>1) NGL is extracted and recovered in gas plants rather than lease separ</w:t>
            </w:r>
            <w:r w:rsidR="009960F1" w:rsidRPr="00D30BC1">
              <w:rPr>
                <w:rFonts w:ascii="Arial" w:hAnsi="Arial" w:cs="Arial"/>
                <w:sz w:val="20"/>
                <w:szCs w:val="22"/>
              </w:rPr>
              <w:t>ators or other lease facilities,</w:t>
            </w:r>
            <w:r w:rsidRPr="00D30BC1">
              <w:rPr>
                <w:rFonts w:ascii="Arial" w:hAnsi="Arial" w:cs="Arial"/>
                <w:sz w:val="20"/>
                <w:szCs w:val="22"/>
              </w:rPr>
              <w:t xml:space="preserve"> and </w:t>
            </w:r>
            <w:r w:rsidR="009960F1" w:rsidRPr="00D30BC1">
              <w:rPr>
                <w:rFonts w:ascii="Arial" w:hAnsi="Arial" w:cs="Arial"/>
                <w:sz w:val="20"/>
                <w:szCs w:val="22"/>
              </w:rPr>
              <w:t>(</w:t>
            </w:r>
            <w:r w:rsidRPr="00D30BC1">
              <w:rPr>
                <w:rFonts w:ascii="Arial" w:hAnsi="Arial" w:cs="Arial"/>
                <w:sz w:val="20"/>
                <w:szCs w:val="22"/>
              </w:rPr>
              <w:t xml:space="preserve">2) NGL includes very light hydrocarbons (ethane, propane, butanes) as </w:t>
            </w:r>
            <w:r w:rsidR="009960F1" w:rsidRPr="00D30BC1">
              <w:rPr>
                <w:rFonts w:ascii="Arial" w:hAnsi="Arial" w:cs="Arial"/>
                <w:sz w:val="20"/>
                <w:szCs w:val="22"/>
              </w:rPr>
              <w:t>well as the pentanes-plus that are</w:t>
            </w:r>
            <w:r w:rsidRPr="00D30BC1">
              <w:rPr>
                <w:rFonts w:ascii="Arial" w:hAnsi="Arial" w:cs="Arial"/>
                <w:sz w:val="20"/>
                <w:szCs w:val="22"/>
              </w:rPr>
              <w:t xml:space="preserve"> the main constituent</w:t>
            </w:r>
            <w:r w:rsidR="009960F1" w:rsidRPr="00D30BC1">
              <w:rPr>
                <w:rFonts w:ascii="Arial" w:hAnsi="Arial" w:cs="Arial"/>
                <w:sz w:val="20"/>
                <w:szCs w:val="22"/>
              </w:rPr>
              <w:t>s</w:t>
            </w:r>
            <w:r w:rsidRPr="00D30BC1">
              <w:rPr>
                <w:rFonts w:ascii="Arial" w:hAnsi="Arial" w:cs="Arial"/>
                <w:sz w:val="20"/>
                <w:szCs w:val="22"/>
              </w:rPr>
              <w:t xml:space="preserve"> of condensates.</w:t>
            </w:r>
          </w:p>
        </w:tc>
      </w:tr>
      <w:tr w:rsidR="00BF46B4" w:rsidRPr="00D30BC1" w14:paraId="0663CAD0" w14:textId="77777777" w:rsidTr="00D30BC1">
        <w:trPr>
          <w:trHeight w:val="635"/>
        </w:trPr>
        <w:tc>
          <w:tcPr>
            <w:tcW w:w="1458" w:type="dxa"/>
            <w:shd w:val="clear" w:color="auto" w:fill="auto"/>
            <w:tcMar>
              <w:top w:w="15" w:type="dxa"/>
              <w:left w:w="15" w:type="dxa"/>
              <w:bottom w:w="0" w:type="dxa"/>
              <w:right w:w="15" w:type="dxa"/>
            </w:tcMar>
          </w:tcPr>
          <w:p w14:paraId="66706BE3"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Natural Gas Liquids to Gas Ratio</w:t>
            </w:r>
          </w:p>
        </w:tc>
        <w:tc>
          <w:tcPr>
            <w:tcW w:w="1062" w:type="dxa"/>
            <w:shd w:val="clear" w:color="auto" w:fill="auto"/>
          </w:tcPr>
          <w:p w14:paraId="01E7E3E5"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381E8868"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Natural gas liquids to gas ratio in an oil or gas field, calculated using measured natural gas liquids and gas volumes at stated conditions.</w:t>
            </w:r>
          </w:p>
        </w:tc>
      </w:tr>
      <w:tr w:rsidR="00BF46B4" w:rsidRPr="00D30BC1" w14:paraId="360CA2A9" w14:textId="77777777" w:rsidTr="00D30BC1">
        <w:trPr>
          <w:trHeight w:val="322"/>
        </w:trPr>
        <w:tc>
          <w:tcPr>
            <w:tcW w:w="1458" w:type="dxa"/>
            <w:shd w:val="clear" w:color="auto" w:fill="auto"/>
            <w:tcMar>
              <w:top w:w="15" w:type="dxa"/>
              <w:left w:w="15" w:type="dxa"/>
              <w:bottom w:w="0" w:type="dxa"/>
              <w:right w:w="15" w:type="dxa"/>
            </w:tcMar>
          </w:tcPr>
          <w:p w14:paraId="3D684D8D" w14:textId="77777777" w:rsidR="00BF46B4" w:rsidRPr="00D30BC1" w:rsidRDefault="00BF46B4" w:rsidP="00D30BC1">
            <w:pPr>
              <w:rPr>
                <w:rFonts w:ascii="Arial" w:hAnsi="Arial" w:cs="Arial"/>
                <w:sz w:val="20"/>
                <w:szCs w:val="22"/>
              </w:rPr>
            </w:pPr>
            <w:r w:rsidRPr="00D30BC1">
              <w:rPr>
                <w:rFonts w:ascii="Arial" w:hAnsi="Arial" w:cs="Arial"/>
                <w:sz w:val="20"/>
                <w:szCs w:val="22"/>
              </w:rPr>
              <w:t>Net-</w:t>
            </w:r>
            <w:r w:rsidR="009960F1" w:rsidRPr="00D30BC1">
              <w:rPr>
                <w:rFonts w:ascii="Arial" w:hAnsi="Arial" w:cs="Arial"/>
                <w:sz w:val="20"/>
                <w:szCs w:val="22"/>
              </w:rPr>
              <w:t>B</w:t>
            </w:r>
            <w:r w:rsidRPr="00D30BC1">
              <w:rPr>
                <w:rFonts w:ascii="Arial" w:hAnsi="Arial" w:cs="Arial"/>
                <w:sz w:val="20"/>
                <w:szCs w:val="22"/>
              </w:rPr>
              <w:t>ack</w:t>
            </w:r>
          </w:p>
        </w:tc>
        <w:tc>
          <w:tcPr>
            <w:tcW w:w="1062" w:type="dxa"/>
            <w:shd w:val="clear" w:color="auto" w:fill="auto"/>
          </w:tcPr>
          <w:p w14:paraId="6573F8B5"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 xml:space="preserve">2007 </w:t>
            </w:r>
            <w:r w:rsidR="009960F1" w:rsidRPr="00D30BC1">
              <w:rPr>
                <w:rFonts w:ascii="Arial" w:eastAsia="Arial Unicode MS" w:hAnsi="Arial" w:cs="Arial"/>
                <w:sz w:val="18"/>
                <w:szCs w:val="22"/>
              </w:rPr>
              <w:t>-</w:t>
            </w:r>
            <w:r w:rsidRPr="00D30BC1">
              <w:rPr>
                <w:rFonts w:ascii="Arial" w:eastAsia="Arial Unicode MS" w:hAnsi="Arial" w:cs="Arial"/>
                <w:sz w:val="18"/>
                <w:szCs w:val="22"/>
              </w:rPr>
              <w:t xml:space="preserve"> 3.2.1</w:t>
            </w:r>
          </w:p>
        </w:tc>
        <w:tc>
          <w:tcPr>
            <w:tcW w:w="7202" w:type="dxa"/>
            <w:shd w:val="clear" w:color="auto" w:fill="auto"/>
            <w:tcMar>
              <w:top w:w="15" w:type="dxa"/>
              <w:left w:w="15" w:type="dxa"/>
              <w:bottom w:w="0" w:type="dxa"/>
              <w:right w:w="15" w:type="dxa"/>
            </w:tcMar>
          </w:tcPr>
          <w:p w14:paraId="2D191378"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Linkage of input resource to the market price of the refined products.</w:t>
            </w:r>
          </w:p>
        </w:tc>
      </w:tr>
      <w:tr w:rsidR="00BF46B4" w:rsidRPr="00D30BC1" w14:paraId="25C96763" w14:textId="77777777" w:rsidTr="00D30BC1">
        <w:trPr>
          <w:trHeight w:val="694"/>
        </w:trPr>
        <w:tc>
          <w:tcPr>
            <w:tcW w:w="1458" w:type="dxa"/>
            <w:shd w:val="clear" w:color="auto" w:fill="auto"/>
            <w:tcMar>
              <w:top w:w="15" w:type="dxa"/>
              <w:left w:w="15" w:type="dxa"/>
              <w:bottom w:w="0" w:type="dxa"/>
              <w:right w:w="15" w:type="dxa"/>
            </w:tcMar>
          </w:tcPr>
          <w:p w14:paraId="1DC8EC7D" w14:textId="77777777" w:rsidR="00BF46B4" w:rsidRPr="00D30BC1" w:rsidRDefault="00BF46B4" w:rsidP="00D30BC1">
            <w:pPr>
              <w:rPr>
                <w:rFonts w:ascii="Arial" w:hAnsi="Arial" w:cs="Arial"/>
                <w:sz w:val="20"/>
                <w:szCs w:val="22"/>
              </w:rPr>
            </w:pPr>
            <w:r w:rsidRPr="00D30BC1">
              <w:rPr>
                <w:rFonts w:ascii="Arial" w:hAnsi="Arial" w:cs="Arial"/>
                <w:sz w:val="20"/>
                <w:szCs w:val="22"/>
              </w:rPr>
              <w:t>Net Profits Interest</w:t>
            </w:r>
          </w:p>
        </w:tc>
        <w:tc>
          <w:tcPr>
            <w:tcW w:w="1062" w:type="dxa"/>
            <w:shd w:val="clear" w:color="auto" w:fill="auto"/>
          </w:tcPr>
          <w:p w14:paraId="402528A3"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2001 - 9.4.4</w:t>
            </w:r>
          </w:p>
        </w:tc>
        <w:tc>
          <w:tcPr>
            <w:tcW w:w="7202" w:type="dxa"/>
            <w:shd w:val="clear" w:color="auto" w:fill="auto"/>
            <w:tcMar>
              <w:top w:w="15" w:type="dxa"/>
              <w:left w:w="15" w:type="dxa"/>
              <w:bottom w:w="0" w:type="dxa"/>
              <w:right w:w="15" w:type="dxa"/>
            </w:tcMar>
          </w:tcPr>
          <w:p w14:paraId="6C94DC04" w14:textId="77777777" w:rsidR="00BF46B4" w:rsidRPr="00D30BC1" w:rsidRDefault="00BF46B4" w:rsidP="00D30BC1">
            <w:pPr>
              <w:spacing w:after="120"/>
              <w:rPr>
                <w:rFonts w:ascii="Arial" w:hAnsi="Arial" w:cs="Arial"/>
                <w:sz w:val="20"/>
                <w:szCs w:val="22"/>
              </w:rPr>
            </w:pPr>
            <w:r w:rsidRPr="00D30BC1">
              <w:rPr>
                <w:rFonts w:ascii="Arial" w:eastAsia="Arial Unicode MS" w:hAnsi="Arial" w:cs="Arial"/>
                <w:sz w:val="20"/>
                <w:szCs w:val="22"/>
              </w:rPr>
              <w:t xml:space="preserve">An interest that receives a portion of the net proceeds from a </w:t>
            </w:r>
            <w:r w:rsidRPr="00D30BC1">
              <w:rPr>
                <w:rFonts w:ascii="Arial" w:hAnsi="Arial" w:cs="Arial"/>
                <w:sz w:val="20"/>
                <w:szCs w:val="22"/>
              </w:rPr>
              <w:t xml:space="preserve">well, typically after all costs have been paid. </w:t>
            </w:r>
          </w:p>
        </w:tc>
      </w:tr>
      <w:tr w:rsidR="00BF46B4" w:rsidRPr="00D30BC1" w14:paraId="651973FB" w14:textId="77777777" w:rsidTr="00D30BC1">
        <w:trPr>
          <w:trHeight w:val="811"/>
        </w:trPr>
        <w:tc>
          <w:tcPr>
            <w:tcW w:w="1458" w:type="dxa"/>
            <w:shd w:val="clear" w:color="auto" w:fill="auto"/>
            <w:tcMar>
              <w:top w:w="15" w:type="dxa"/>
              <w:left w:w="15" w:type="dxa"/>
              <w:bottom w:w="0" w:type="dxa"/>
              <w:right w:w="15" w:type="dxa"/>
            </w:tcMar>
          </w:tcPr>
          <w:p w14:paraId="3A900407"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Net Working Interest</w:t>
            </w:r>
          </w:p>
        </w:tc>
        <w:tc>
          <w:tcPr>
            <w:tcW w:w="1062" w:type="dxa"/>
            <w:shd w:val="clear" w:color="auto" w:fill="auto"/>
          </w:tcPr>
          <w:p w14:paraId="41F749D3" w14:textId="77777777" w:rsidR="00BF46B4" w:rsidRPr="00D30BC1" w:rsidRDefault="00BF46B4" w:rsidP="00D30BC1">
            <w:pPr>
              <w:rPr>
                <w:rFonts w:ascii="Arial" w:hAnsi="Arial" w:cs="Arial"/>
                <w:sz w:val="18"/>
                <w:szCs w:val="22"/>
              </w:rPr>
            </w:pPr>
            <w:r w:rsidRPr="00D30BC1">
              <w:rPr>
                <w:rFonts w:ascii="Arial" w:hAnsi="Arial" w:cs="Arial"/>
                <w:sz w:val="18"/>
                <w:szCs w:val="22"/>
              </w:rPr>
              <w:t>2001 - 9.6.1</w:t>
            </w:r>
          </w:p>
        </w:tc>
        <w:tc>
          <w:tcPr>
            <w:tcW w:w="7202" w:type="dxa"/>
            <w:shd w:val="clear" w:color="auto" w:fill="auto"/>
            <w:tcMar>
              <w:top w:w="15" w:type="dxa"/>
              <w:left w:w="15" w:type="dxa"/>
              <w:bottom w:w="0" w:type="dxa"/>
              <w:right w:w="15" w:type="dxa"/>
            </w:tcMar>
          </w:tcPr>
          <w:p w14:paraId="46D7EFDB"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A company</w:t>
            </w:r>
            <w:r w:rsidR="00C30824" w:rsidRPr="00D30BC1">
              <w:rPr>
                <w:rFonts w:cs="Arial"/>
                <w:sz w:val="18"/>
                <w:szCs w:val="22"/>
              </w:rPr>
              <w:t>’</w:t>
            </w:r>
            <w:r w:rsidRPr="00D30BC1">
              <w:rPr>
                <w:rFonts w:ascii="Arial" w:hAnsi="Arial" w:cs="Arial"/>
                <w:sz w:val="20"/>
                <w:szCs w:val="22"/>
              </w:rPr>
              <w:t>s working interest reduced by royalties or share of production owing to others under applicable lease and fiscal terms. (</w:t>
            </w:r>
            <w:r w:rsidR="009960F1" w:rsidRPr="00D30BC1">
              <w:rPr>
                <w:rFonts w:ascii="Arial" w:hAnsi="Arial" w:cs="Arial"/>
                <w:sz w:val="20"/>
                <w:szCs w:val="22"/>
              </w:rPr>
              <w:t>A</w:t>
            </w:r>
            <w:r w:rsidRPr="00D30BC1">
              <w:rPr>
                <w:rFonts w:ascii="Arial" w:hAnsi="Arial" w:cs="Arial"/>
                <w:sz w:val="20"/>
                <w:szCs w:val="22"/>
              </w:rPr>
              <w:t>lso called Net Revenue Interest</w:t>
            </w:r>
            <w:r w:rsidR="009960F1" w:rsidRPr="00D30BC1">
              <w:rPr>
                <w:rFonts w:ascii="Arial" w:hAnsi="Arial" w:cs="Arial"/>
                <w:sz w:val="20"/>
                <w:szCs w:val="22"/>
              </w:rPr>
              <w:t>.</w:t>
            </w:r>
            <w:r w:rsidRPr="00D30BC1">
              <w:rPr>
                <w:rFonts w:ascii="Arial" w:hAnsi="Arial" w:cs="Arial"/>
                <w:sz w:val="20"/>
                <w:szCs w:val="22"/>
              </w:rPr>
              <w:t>)</w:t>
            </w:r>
          </w:p>
        </w:tc>
      </w:tr>
      <w:tr w:rsidR="00BF46B4" w:rsidRPr="00D30BC1" w14:paraId="2E996D50" w14:textId="77777777" w:rsidTr="00D30BC1">
        <w:trPr>
          <w:trHeight w:val="1053"/>
        </w:trPr>
        <w:tc>
          <w:tcPr>
            <w:tcW w:w="1458" w:type="dxa"/>
            <w:shd w:val="clear" w:color="auto" w:fill="auto"/>
            <w:tcMar>
              <w:top w:w="15" w:type="dxa"/>
              <w:left w:w="15" w:type="dxa"/>
              <w:bottom w:w="0" w:type="dxa"/>
              <w:right w:w="15" w:type="dxa"/>
            </w:tcMar>
          </w:tcPr>
          <w:p w14:paraId="1C8352B5"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Non- Hydrocarbon Gas</w:t>
            </w:r>
          </w:p>
        </w:tc>
        <w:tc>
          <w:tcPr>
            <w:tcW w:w="1062" w:type="dxa"/>
            <w:shd w:val="clear" w:color="auto" w:fill="auto"/>
          </w:tcPr>
          <w:p w14:paraId="75089A28" w14:textId="77777777" w:rsidR="00BF46B4" w:rsidRPr="00D30BC1" w:rsidRDefault="00BF46B4" w:rsidP="00D30BC1">
            <w:pPr>
              <w:rPr>
                <w:rFonts w:ascii="Arial" w:hAnsi="Arial" w:cs="Arial"/>
                <w:sz w:val="18"/>
                <w:szCs w:val="22"/>
              </w:rPr>
            </w:pPr>
            <w:r w:rsidRPr="00D30BC1">
              <w:rPr>
                <w:rFonts w:ascii="Arial" w:hAnsi="Arial" w:cs="Arial"/>
                <w:sz w:val="18"/>
                <w:szCs w:val="22"/>
              </w:rPr>
              <w:t>2007 - 3.2.4</w:t>
            </w:r>
          </w:p>
          <w:p w14:paraId="660ED768" w14:textId="77777777" w:rsidR="00BF46B4" w:rsidRPr="00D30BC1" w:rsidRDefault="00BF46B4" w:rsidP="00D30BC1">
            <w:pPr>
              <w:rPr>
                <w:rFonts w:ascii="Arial" w:hAnsi="Arial" w:cs="Arial"/>
                <w:sz w:val="18"/>
                <w:szCs w:val="22"/>
              </w:rPr>
            </w:pPr>
            <w:r w:rsidRPr="00D30BC1">
              <w:rPr>
                <w:rFonts w:ascii="Arial" w:hAnsi="Arial" w:cs="Arial"/>
                <w:sz w:val="18"/>
                <w:szCs w:val="22"/>
              </w:rPr>
              <w:t>2001 - 3.3</w:t>
            </w:r>
          </w:p>
        </w:tc>
        <w:tc>
          <w:tcPr>
            <w:tcW w:w="7202" w:type="dxa"/>
            <w:shd w:val="clear" w:color="auto" w:fill="auto"/>
            <w:tcMar>
              <w:top w:w="15" w:type="dxa"/>
              <w:left w:w="15" w:type="dxa"/>
              <w:bottom w:w="0" w:type="dxa"/>
              <w:right w:w="15" w:type="dxa"/>
            </w:tcMar>
          </w:tcPr>
          <w:p w14:paraId="626A99C1"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Natural occurring associated gases such as nitrogen, carbon dioxide, hydrogen sulfide, and helium. If non-hydrocarbon gases are present, the reported volumes should reflect the condition of the gas at the point of sale. Correspondingly, the accounts will reflect the value of the gas product at the point of sale. </w:t>
            </w:r>
          </w:p>
        </w:tc>
      </w:tr>
      <w:tr w:rsidR="00BF46B4" w:rsidRPr="00D30BC1" w14:paraId="6F8DD94D" w14:textId="77777777" w:rsidTr="00D30BC1">
        <w:trPr>
          <w:trHeight w:val="619"/>
        </w:trPr>
        <w:tc>
          <w:tcPr>
            <w:tcW w:w="1458" w:type="dxa"/>
            <w:shd w:val="clear" w:color="auto" w:fill="auto"/>
            <w:tcMar>
              <w:top w:w="15" w:type="dxa"/>
              <w:left w:w="15" w:type="dxa"/>
              <w:bottom w:w="0" w:type="dxa"/>
              <w:right w:w="15" w:type="dxa"/>
            </w:tcMar>
          </w:tcPr>
          <w:p w14:paraId="4F0354A1"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Non-Associated Gas</w:t>
            </w:r>
          </w:p>
        </w:tc>
        <w:tc>
          <w:tcPr>
            <w:tcW w:w="1062" w:type="dxa"/>
            <w:shd w:val="clear" w:color="auto" w:fill="auto"/>
          </w:tcPr>
          <w:p w14:paraId="4DD271AA"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1D5F640C"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Non-Associated Gas is a natural gas found in a natural reservoir that does not contain crude oil.</w:t>
            </w:r>
          </w:p>
        </w:tc>
      </w:tr>
      <w:tr w:rsidR="00BF46B4" w:rsidRPr="00D30BC1" w14:paraId="0B3D2E3D" w14:textId="77777777" w:rsidTr="00D30BC1">
        <w:trPr>
          <w:trHeight w:val="1492"/>
        </w:trPr>
        <w:tc>
          <w:tcPr>
            <w:tcW w:w="1458" w:type="dxa"/>
            <w:shd w:val="clear" w:color="auto" w:fill="auto"/>
            <w:tcMar>
              <w:top w:w="15" w:type="dxa"/>
              <w:left w:w="15" w:type="dxa"/>
              <w:bottom w:w="0" w:type="dxa"/>
              <w:right w:w="15" w:type="dxa"/>
            </w:tcMar>
          </w:tcPr>
          <w:p w14:paraId="2FD660F9" w14:textId="77777777" w:rsidR="00BF46B4" w:rsidRPr="00D30BC1" w:rsidRDefault="00BF46B4" w:rsidP="00D30BC1">
            <w:pPr>
              <w:rPr>
                <w:rFonts w:ascii="Arial" w:hAnsi="Arial" w:cs="Arial"/>
                <w:sz w:val="20"/>
                <w:szCs w:val="22"/>
              </w:rPr>
            </w:pPr>
            <w:r w:rsidRPr="00D30BC1">
              <w:rPr>
                <w:rFonts w:ascii="Arial" w:hAnsi="Arial" w:cs="Arial"/>
                <w:sz w:val="20"/>
                <w:szCs w:val="22"/>
              </w:rPr>
              <w:t>Normal Production Practices</w:t>
            </w:r>
          </w:p>
        </w:tc>
        <w:tc>
          <w:tcPr>
            <w:tcW w:w="1062" w:type="dxa"/>
            <w:shd w:val="clear" w:color="auto" w:fill="auto"/>
          </w:tcPr>
          <w:p w14:paraId="4E530FFD"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63994D73" w14:textId="77777777" w:rsidR="00BF46B4" w:rsidRPr="00D30BC1" w:rsidRDefault="00BF46B4" w:rsidP="00D30BC1">
            <w:pPr>
              <w:spacing w:after="120"/>
              <w:rPr>
                <w:rFonts w:ascii="Arial" w:hAnsi="Arial" w:cs="Arial"/>
                <w:sz w:val="20"/>
                <w:szCs w:val="20"/>
              </w:rPr>
            </w:pPr>
            <w:r w:rsidRPr="00D30BC1">
              <w:rPr>
                <w:rFonts w:ascii="Arial" w:hAnsi="Arial" w:cs="Arial"/>
                <w:sz w:val="20"/>
                <w:szCs w:val="20"/>
              </w:rPr>
              <w:t xml:space="preserve">Production practices that involve flow of fluids through wells to surface facilities that involve only physical separation of fluids and, if necessary, solids.  Wells can be stimulated, using techniques including, but not limited to, hydraulic fracturing, acidization, various other chemical treatments, and thermal methods, and </w:t>
            </w:r>
            <w:r w:rsidR="004C02F6" w:rsidRPr="00D30BC1">
              <w:rPr>
                <w:rFonts w:ascii="Arial" w:hAnsi="Arial" w:cs="Arial"/>
                <w:sz w:val="20"/>
                <w:szCs w:val="20"/>
              </w:rPr>
              <w:t>they can be artificially lifted (</w:t>
            </w:r>
            <w:r w:rsidRPr="00D30BC1">
              <w:rPr>
                <w:rFonts w:ascii="Arial" w:hAnsi="Arial" w:cs="Arial"/>
                <w:sz w:val="20"/>
                <w:szCs w:val="20"/>
              </w:rPr>
              <w:t>e.g., with pumps or gas lift</w:t>
            </w:r>
            <w:r w:rsidR="004C02F6" w:rsidRPr="00D30BC1">
              <w:rPr>
                <w:rFonts w:ascii="Arial" w:hAnsi="Arial" w:cs="Arial"/>
                <w:sz w:val="20"/>
                <w:szCs w:val="20"/>
              </w:rPr>
              <w:t>).</w:t>
            </w:r>
            <w:r w:rsidRPr="00D30BC1">
              <w:rPr>
                <w:rFonts w:ascii="Arial" w:hAnsi="Arial" w:cs="Arial"/>
                <w:sz w:val="20"/>
                <w:szCs w:val="20"/>
              </w:rPr>
              <w:t xml:space="preserve">  Transportation methods can include mixing with diluents to enable flow, as well as conventional methods of compression or pumping.  Practices that involve chemical reforming of molecules of the produced fluids are considered manufacturing processes.</w:t>
            </w:r>
          </w:p>
        </w:tc>
      </w:tr>
      <w:tr w:rsidR="00BF46B4" w:rsidRPr="00D30BC1" w14:paraId="3DF1D569" w14:textId="77777777" w:rsidTr="00D30BC1">
        <w:trPr>
          <w:trHeight w:val="1128"/>
        </w:trPr>
        <w:tc>
          <w:tcPr>
            <w:tcW w:w="1458" w:type="dxa"/>
            <w:shd w:val="clear" w:color="auto" w:fill="auto"/>
            <w:tcMar>
              <w:top w:w="15" w:type="dxa"/>
              <w:left w:w="15" w:type="dxa"/>
              <w:bottom w:w="0" w:type="dxa"/>
              <w:right w:w="15" w:type="dxa"/>
            </w:tcMar>
          </w:tcPr>
          <w:p w14:paraId="45239E7F" w14:textId="77777777" w:rsidR="00BF46B4" w:rsidRPr="00D30BC1" w:rsidRDefault="00BF46B4" w:rsidP="00D30BC1">
            <w:pPr>
              <w:rPr>
                <w:rFonts w:ascii="Arial" w:hAnsi="Arial" w:cs="Arial"/>
                <w:sz w:val="20"/>
                <w:szCs w:val="22"/>
              </w:rPr>
            </w:pPr>
            <w:r w:rsidRPr="00D30BC1">
              <w:rPr>
                <w:rFonts w:ascii="Arial" w:hAnsi="Arial" w:cs="Arial"/>
                <w:sz w:val="20"/>
                <w:szCs w:val="22"/>
              </w:rPr>
              <w:t>Oil Sands</w:t>
            </w:r>
          </w:p>
        </w:tc>
        <w:tc>
          <w:tcPr>
            <w:tcW w:w="1062" w:type="dxa"/>
            <w:shd w:val="clear" w:color="auto" w:fill="auto"/>
          </w:tcPr>
          <w:p w14:paraId="02843ACB" w14:textId="77777777" w:rsidR="00BF46B4" w:rsidRPr="00D30BC1" w:rsidRDefault="00BF46B4" w:rsidP="00D30BC1">
            <w:pPr>
              <w:rPr>
                <w:rFonts w:ascii="Arial" w:eastAsia="Arial Unicode MS" w:hAnsi="Arial" w:cs="Arial"/>
                <w:sz w:val="18"/>
                <w:szCs w:val="22"/>
              </w:rPr>
            </w:pPr>
          </w:p>
        </w:tc>
        <w:tc>
          <w:tcPr>
            <w:tcW w:w="7202" w:type="dxa"/>
            <w:shd w:val="clear" w:color="auto" w:fill="auto"/>
            <w:tcMar>
              <w:top w:w="15" w:type="dxa"/>
              <w:left w:w="15" w:type="dxa"/>
              <w:bottom w:w="0" w:type="dxa"/>
              <w:right w:w="15" w:type="dxa"/>
            </w:tcMar>
          </w:tcPr>
          <w:p w14:paraId="25D02A41"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 xml:space="preserve">Sand deposits highly saturated with natural bitumen. Also called </w:t>
            </w:r>
            <w:r w:rsidR="00C30824" w:rsidRPr="00D30BC1">
              <w:rPr>
                <w:rFonts w:eastAsia="Arial Unicode MS" w:cs="Arial"/>
                <w:sz w:val="18"/>
                <w:szCs w:val="22"/>
              </w:rPr>
              <w:t>“</w:t>
            </w:r>
            <w:r w:rsidRPr="00D30BC1">
              <w:rPr>
                <w:rFonts w:ascii="Arial" w:eastAsia="Arial Unicode MS" w:hAnsi="Arial" w:cs="Arial"/>
                <w:sz w:val="20"/>
                <w:szCs w:val="22"/>
              </w:rPr>
              <w:t>Tar Sands</w:t>
            </w:r>
            <w:r w:rsidR="00B750ED" w:rsidRPr="00D30BC1">
              <w:rPr>
                <w:rFonts w:ascii="Arial" w:eastAsia="Arial Unicode MS" w:hAnsi="Arial" w:cs="Arial"/>
                <w:sz w:val="20"/>
                <w:szCs w:val="22"/>
              </w:rPr>
              <w:t>.</w:t>
            </w:r>
            <w:r w:rsidR="00C30824" w:rsidRPr="00D30BC1">
              <w:rPr>
                <w:rFonts w:eastAsia="Arial Unicode MS" w:cs="Arial"/>
                <w:sz w:val="18"/>
                <w:szCs w:val="22"/>
              </w:rPr>
              <w:t>”</w:t>
            </w:r>
            <w:r w:rsidRPr="00D30BC1">
              <w:rPr>
                <w:rFonts w:ascii="Arial" w:eastAsia="Arial Unicode MS" w:hAnsi="Arial" w:cs="Arial"/>
                <w:sz w:val="20"/>
                <w:szCs w:val="22"/>
              </w:rPr>
              <w:t xml:space="preserve"> Note that in deposits such as the western Canada </w:t>
            </w:r>
            <w:r w:rsidR="00C30824" w:rsidRPr="00D30BC1">
              <w:rPr>
                <w:rFonts w:eastAsia="Arial Unicode MS" w:cs="Arial"/>
                <w:sz w:val="18"/>
                <w:szCs w:val="22"/>
              </w:rPr>
              <w:t>“</w:t>
            </w:r>
            <w:r w:rsidRPr="00D30BC1">
              <w:rPr>
                <w:rFonts w:ascii="Arial" w:eastAsia="Arial Unicode MS" w:hAnsi="Arial" w:cs="Arial"/>
                <w:sz w:val="20"/>
                <w:szCs w:val="22"/>
              </w:rPr>
              <w:t>oil sands</w:t>
            </w:r>
            <w:r w:rsidR="00B750ED" w:rsidRPr="00D30BC1">
              <w:rPr>
                <w:rFonts w:ascii="Arial" w:eastAsia="Arial Unicode MS" w:hAnsi="Arial" w:cs="Arial"/>
                <w:sz w:val="20"/>
                <w:szCs w:val="22"/>
              </w:rPr>
              <w:t>,</w:t>
            </w:r>
            <w:r w:rsidR="00C30824" w:rsidRPr="00D30BC1">
              <w:rPr>
                <w:rFonts w:eastAsia="Arial Unicode MS" w:cs="Arial"/>
                <w:sz w:val="18"/>
                <w:szCs w:val="22"/>
              </w:rPr>
              <w:t>”</w:t>
            </w:r>
            <w:r w:rsidRPr="00D30BC1">
              <w:rPr>
                <w:rFonts w:ascii="Arial" w:eastAsia="Arial Unicode MS" w:hAnsi="Arial" w:cs="Arial"/>
                <w:sz w:val="20"/>
                <w:szCs w:val="22"/>
              </w:rPr>
              <w:t xml:space="preserve"> significant quantities of natural bitumen may be hosted in a range of lithologies including siltstones and carbonates.</w:t>
            </w:r>
            <w:r w:rsidR="00B5367C" w:rsidRPr="00D30BC1">
              <w:rPr>
                <w:rFonts w:ascii="Arial" w:eastAsia="Arial Unicode MS" w:hAnsi="Arial" w:cs="Arial"/>
                <w:sz w:val="20"/>
                <w:szCs w:val="22"/>
              </w:rPr>
              <w:t xml:space="preserve"> </w:t>
            </w:r>
          </w:p>
        </w:tc>
      </w:tr>
      <w:tr w:rsidR="00BF46B4" w:rsidRPr="00D30BC1" w14:paraId="585B4E30" w14:textId="77777777" w:rsidTr="00D30BC1">
        <w:trPr>
          <w:trHeight w:val="867"/>
        </w:trPr>
        <w:tc>
          <w:tcPr>
            <w:tcW w:w="1458" w:type="dxa"/>
            <w:shd w:val="clear" w:color="auto" w:fill="auto"/>
            <w:tcMar>
              <w:top w:w="15" w:type="dxa"/>
              <w:left w:w="15" w:type="dxa"/>
              <w:bottom w:w="0" w:type="dxa"/>
              <w:right w:w="15" w:type="dxa"/>
            </w:tcMar>
          </w:tcPr>
          <w:p w14:paraId="0194E6CE" w14:textId="77777777" w:rsidR="00BF46B4" w:rsidRPr="00D30BC1" w:rsidRDefault="00BF46B4" w:rsidP="00D30BC1">
            <w:pPr>
              <w:rPr>
                <w:rFonts w:ascii="Arial" w:hAnsi="Arial" w:cs="Arial"/>
                <w:sz w:val="20"/>
                <w:szCs w:val="22"/>
              </w:rPr>
            </w:pPr>
            <w:r w:rsidRPr="00D30BC1">
              <w:rPr>
                <w:rFonts w:ascii="Arial" w:hAnsi="Arial" w:cs="Arial"/>
                <w:sz w:val="20"/>
                <w:szCs w:val="22"/>
              </w:rPr>
              <w:t>Oil Shales</w:t>
            </w:r>
          </w:p>
        </w:tc>
        <w:tc>
          <w:tcPr>
            <w:tcW w:w="1062" w:type="dxa"/>
            <w:shd w:val="clear" w:color="auto" w:fill="auto"/>
          </w:tcPr>
          <w:p w14:paraId="48670F27"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2007 - 2.4</w:t>
            </w:r>
          </w:p>
        </w:tc>
        <w:tc>
          <w:tcPr>
            <w:tcW w:w="7202" w:type="dxa"/>
            <w:shd w:val="clear" w:color="auto" w:fill="auto"/>
            <w:tcMar>
              <w:top w:w="15" w:type="dxa"/>
              <w:left w:w="15" w:type="dxa"/>
              <w:bottom w:w="0" w:type="dxa"/>
              <w:right w:w="15" w:type="dxa"/>
            </w:tcMar>
          </w:tcPr>
          <w:p w14:paraId="34BD2C5A" w14:textId="77777777" w:rsidR="00BF46B4" w:rsidRPr="00D30BC1" w:rsidRDefault="00BF46B4" w:rsidP="00D30BC1">
            <w:pPr>
              <w:pStyle w:val="CommentText"/>
              <w:spacing w:after="120"/>
              <w:rPr>
                <w:rFonts w:ascii="Arial" w:eastAsia="Arial Unicode MS" w:hAnsi="Arial" w:cs="Arial"/>
                <w:szCs w:val="22"/>
              </w:rPr>
            </w:pPr>
            <w:r w:rsidRPr="00D30BC1">
              <w:rPr>
                <w:rFonts w:ascii="Arial" w:eastAsia="Arial Unicode MS" w:hAnsi="Arial" w:cs="Arial"/>
                <w:szCs w:val="22"/>
              </w:rPr>
              <w:t>Shale, siltstone and marl deposits highly saturated with kerogen. Whether extracted by mining or in situ processes, the material must be extensively processed to yield a marketable product (synthetic crude oil).</w:t>
            </w:r>
          </w:p>
        </w:tc>
      </w:tr>
      <w:tr w:rsidR="00BF46B4" w:rsidRPr="00D30BC1" w14:paraId="6E470424" w14:textId="77777777" w:rsidTr="00D30BC1">
        <w:trPr>
          <w:trHeight w:val="1593"/>
        </w:trPr>
        <w:tc>
          <w:tcPr>
            <w:tcW w:w="1458" w:type="dxa"/>
            <w:shd w:val="clear" w:color="auto" w:fill="auto"/>
            <w:tcMar>
              <w:top w:w="15" w:type="dxa"/>
              <w:left w:w="15" w:type="dxa"/>
              <w:bottom w:w="0" w:type="dxa"/>
              <w:right w:w="15" w:type="dxa"/>
            </w:tcMar>
          </w:tcPr>
          <w:p w14:paraId="41D36AF1"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Offset Well Location</w:t>
            </w:r>
          </w:p>
        </w:tc>
        <w:tc>
          <w:tcPr>
            <w:tcW w:w="1062" w:type="dxa"/>
            <w:shd w:val="clear" w:color="auto" w:fill="auto"/>
          </w:tcPr>
          <w:p w14:paraId="66BA81C8" w14:textId="77777777" w:rsidR="00BF46B4" w:rsidRPr="00D30BC1" w:rsidRDefault="00BF46B4" w:rsidP="00D30BC1">
            <w:pPr>
              <w:rPr>
                <w:rFonts w:ascii="Arial" w:eastAsia="Arial Unicode MS" w:hAnsi="Arial" w:cs="Arial"/>
                <w:sz w:val="18"/>
                <w:szCs w:val="22"/>
              </w:rPr>
            </w:pPr>
          </w:p>
        </w:tc>
        <w:tc>
          <w:tcPr>
            <w:tcW w:w="7202" w:type="dxa"/>
            <w:shd w:val="clear" w:color="auto" w:fill="auto"/>
            <w:tcMar>
              <w:top w:w="15" w:type="dxa"/>
              <w:left w:w="15" w:type="dxa"/>
              <w:bottom w:w="0" w:type="dxa"/>
              <w:right w:w="15" w:type="dxa"/>
            </w:tcMar>
          </w:tcPr>
          <w:p w14:paraId="1C11B485"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Potential drill location adjacent to an existing well. The offset distance may be governed by well spacing regulations. In the absence of well spacing regulations, technical analysis of drainage areas may be used to define the spacing. For Proved volumes to be assigned to an offset well location there must be conclusive, unambiguous technical data which supports the reasonable certainty of production of hydrocarbon volumes and sufficient legal acreage to economically justify the development without going below the shallower of the fluid contact or the lowest known hydrocarbon.</w:t>
            </w:r>
          </w:p>
        </w:tc>
      </w:tr>
      <w:tr w:rsidR="00BF46B4" w:rsidRPr="00D30BC1" w14:paraId="50B2344F" w14:textId="77777777" w:rsidTr="00D30BC1">
        <w:trPr>
          <w:trHeight w:val="845"/>
        </w:trPr>
        <w:tc>
          <w:tcPr>
            <w:tcW w:w="1458" w:type="dxa"/>
            <w:shd w:val="clear" w:color="auto" w:fill="auto"/>
            <w:tcMar>
              <w:top w:w="15" w:type="dxa"/>
              <w:left w:w="15" w:type="dxa"/>
              <w:bottom w:w="0" w:type="dxa"/>
              <w:right w:w="15" w:type="dxa"/>
            </w:tcMar>
          </w:tcPr>
          <w:p w14:paraId="3576D144" w14:textId="77777777" w:rsidR="00BF46B4" w:rsidRPr="00D30BC1" w:rsidRDefault="00BF46B4" w:rsidP="00D30BC1">
            <w:pPr>
              <w:rPr>
                <w:rFonts w:ascii="Arial" w:hAnsi="Arial" w:cs="Arial"/>
                <w:sz w:val="20"/>
                <w:szCs w:val="22"/>
              </w:rPr>
            </w:pPr>
            <w:r w:rsidRPr="00D30BC1">
              <w:rPr>
                <w:rFonts w:ascii="Arial" w:hAnsi="Arial" w:cs="Arial"/>
                <w:sz w:val="20"/>
                <w:szCs w:val="22"/>
              </w:rPr>
              <w:t>On Production</w:t>
            </w:r>
          </w:p>
        </w:tc>
        <w:tc>
          <w:tcPr>
            <w:tcW w:w="1062" w:type="dxa"/>
            <w:shd w:val="clear" w:color="auto" w:fill="auto"/>
          </w:tcPr>
          <w:p w14:paraId="2A46DEAB"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w:t>
            </w:r>
            <w:r w:rsidR="00571733" w:rsidRPr="00D30BC1">
              <w:rPr>
                <w:rFonts w:ascii="Arial" w:hAnsi="Arial" w:cs="Arial"/>
                <w:sz w:val="18"/>
                <w:szCs w:val="22"/>
              </w:rPr>
              <w:t>-</w:t>
            </w:r>
            <w:r w:rsidRPr="00D30BC1">
              <w:rPr>
                <w:rFonts w:ascii="Arial" w:hAnsi="Arial" w:cs="Arial"/>
                <w:sz w:val="18"/>
                <w:szCs w:val="22"/>
              </w:rPr>
              <w:t>2.1.3.1 and Table 1</w:t>
            </w:r>
          </w:p>
        </w:tc>
        <w:tc>
          <w:tcPr>
            <w:tcW w:w="7202" w:type="dxa"/>
            <w:shd w:val="clear" w:color="auto" w:fill="auto"/>
            <w:tcMar>
              <w:top w:w="15" w:type="dxa"/>
              <w:left w:w="15" w:type="dxa"/>
              <w:bottom w:w="0" w:type="dxa"/>
              <w:right w:w="15" w:type="dxa"/>
            </w:tcMar>
          </w:tcPr>
          <w:p w14:paraId="7BD90C1A"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The development project is currently producing and selling petroleum to market. A project status/maturity sub-class that reflects the actions re</w:t>
            </w:r>
            <w:r w:rsidR="00571733" w:rsidRPr="00D30BC1">
              <w:rPr>
                <w:rFonts w:ascii="Arial" w:hAnsi="Arial" w:cs="Arial"/>
                <w:sz w:val="20"/>
                <w:szCs w:val="22"/>
              </w:rPr>
              <w:t>quired to move a project toward</w:t>
            </w:r>
            <w:r w:rsidRPr="00D30BC1">
              <w:rPr>
                <w:rFonts w:ascii="Arial" w:hAnsi="Arial" w:cs="Arial"/>
                <w:sz w:val="20"/>
                <w:szCs w:val="22"/>
              </w:rPr>
              <w:t xml:space="preserve"> commercial production. </w:t>
            </w:r>
          </w:p>
        </w:tc>
      </w:tr>
      <w:tr w:rsidR="00BF46B4" w:rsidRPr="00D30BC1" w14:paraId="397C41BE" w14:textId="77777777" w:rsidTr="00D30BC1">
        <w:trPr>
          <w:trHeight w:val="649"/>
        </w:trPr>
        <w:tc>
          <w:tcPr>
            <w:tcW w:w="1458" w:type="dxa"/>
            <w:shd w:val="clear" w:color="auto" w:fill="auto"/>
            <w:tcMar>
              <w:top w:w="15" w:type="dxa"/>
              <w:left w:w="15" w:type="dxa"/>
              <w:bottom w:w="0" w:type="dxa"/>
              <w:right w:w="15" w:type="dxa"/>
            </w:tcMar>
          </w:tcPr>
          <w:p w14:paraId="5F8DA612"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Operator</w:t>
            </w:r>
          </w:p>
        </w:tc>
        <w:tc>
          <w:tcPr>
            <w:tcW w:w="1062" w:type="dxa"/>
            <w:shd w:val="clear" w:color="auto" w:fill="auto"/>
          </w:tcPr>
          <w:p w14:paraId="5828E58B"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33FAD9A4"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The company or individual responsible for managing an exploration, development, or production operation.</w:t>
            </w:r>
          </w:p>
        </w:tc>
      </w:tr>
      <w:tr w:rsidR="00BF46B4" w:rsidRPr="00D30BC1" w14:paraId="1A508BC7" w14:textId="77777777" w:rsidTr="00D30BC1">
        <w:trPr>
          <w:trHeight w:val="1772"/>
        </w:trPr>
        <w:tc>
          <w:tcPr>
            <w:tcW w:w="1458" w:type="dxa"/>
            <w:shd w:val="clear" w:color="auto" w:fill="auto"/>
            <w:tcMar>
              <w:top w:w="15" w:type="dxa"/>
              <w:left w:w="15" w:type="dxa"/>
              <w:bottom w:w="0" w:type="dxa"/>
              <w:right w:w="15" w:type="dxa"/>
            </w:tcMar>
          </w:tcPr>
          <w:p w14:paraId="6EF2F5B4" w14:textId="77777777" w:rsidR="00BF46B4" w:rsidRPr="00D30BC1" w:rsidRDefault="00BF46B4" w:rsidP="00D30BC1">
            <w:pPr>
              <w:ind w:left="-15"/>
              <w:rPr>
                <w:rFonts w:ascii="Arial" w:eastAsia="Arial Unicode MS" w:hAnsi="Arial" w:cs="Arial"/>
                <w:sz w:val="20"/>
                <w:szCs w:val="20"/>
              </w:rPr>
            </w:pPr>
            <w:r w:rsidRPr="00D30BC1">
              <w:rPr>
                <w:rFonts w:ascii="Arial" w:hAnsi="Arial" w:cs="Arial"/>
                <w:sz w:val="20"/>
                <w:szCs w:val="20"/>
              </w:rPr>
              <w:t>Overlift/Underlift</w:t>
            </w:r>
          </w:p>
        </w:tc>
        <w:tc>
          <w:tcPr>
            <w:tcW w:w="1062" w:type="dxa"/>
            <w:shd w:val="clear" w:color="auto" w:fill="auto"/>
          </w:tcPr>
          <w:p w14:paraId="79C8F8DE" w14:textId="77777777" w:rsidR="00BF46B4" w:rsidRPr="00D30BC1" w:rsidRDefault="00BF46B4" w:rsidP="00D30BC1">
            <w:pPr>
              <w:rPr>
                <w:rFonts w:ascii="Arial" w:hAnsi="Arial" w:cs="Arial"/>
                <w:sz w:val="18"/>
                <w:szCs w:val="22"/>
              </w:rPr>
            </w:pPr>
            <w:r w:rsidRPr="00D30BC1">
              <w:rPr>
                <w:rFonts w:ascii="Arial" w:hAnsi="Arial" w:cs="Arial"/>
                <w:sz w:val="18"/>
                <w:szCs w:val="22"/>
              </w:rPr>
              <w:t>2007 - 3.2.7</w:t>
            </w:r>
          </w:p>
          <w:p w14:paraId="2E004DDE" w14:textId="77777777" w:rsidR="00BF46B4" w:rsidRPr="00D30BC1" w:rsidRDefault="00BF46B4" w:rsidP="00D30BC1">
            <w:pPr>
              <w:rPr>
                <w:rFonts w:ascii="Arial" w:hAnsi="Arial" w:cs="Arial"/>
                <w:sz w:val="18"/>
                <w:szCs w:val="22"/>
              </w:rPr>
            </w:pPr>
            <w:r w:rsidRPr="00D30BC1">
              <w:rPr>
                <w:rFonts w:ascii="Arial" w:hAnsi="Arial" w:cs="Arial"/>
                <w:sz w:val="18"/>
                <w:szCs w:val="22"/>
              </w:rPr>
              <w:t>2001 - 3.9</w:t>
            </w:r>
          </w:p>
        </w:tc>
        <w:tc>
          <w:tcPr>
            <w:tcW w:w="7202" w:type="dxa"/>
            <w:shd w:val="clear" w:color="auto" w:fill="auto"/>
            <w:tcMar>
              <w:top w:w="15" w:type="dxa"/>
              <w:left w:w="15" w:type="dxa"/>
              <w:bottom w:w="0" w:type="dxa"/>
              <w:right w:w="15" w:type="dxa"/>
            </w:tcMar>
          </w:tcPr>
          <w:p w14:paraId="5CB802CE"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Production overlift or underlift can occur in annual records because of the necessity for companies to lift their entitlement in parcel sizes to suit the available shipping schedules as agreed among the parties. At any given financial year-end, a company may be in overlift or underlift. Based on the production matching the company</w:t>
            </w:r>
            <w:r w:rsidR="00C30824" w:rsidRPr="00D30BC1">
              <w:rPr>
                <w:rFonts w:cs="Arial"/>
                <w:sz w:val="18"/>
                <w:szCs w:val="22"/>
              </w:rPr>
              <w:t>’</w:t>
            </w:r>
            <w:r w:rsidRPr="00D30BC1">
              <w:rPr>
                <w:rFonts w:ascii="Arial" w:hAnsi="Arial" w:cs="Arial"/>
                <w:sz w:val="20"/>
                <w:szCs w:val="22"/>
              </w:rPr>
              <w:t>s accounts, production should be reported in accord with and equal to the liftings actually made by the company during the year, and not on the production entitlement for the year.</w:t>
            </w:r>
          </w:p>
        </w:tc>
      </w:tr>
      <w:tr w:rsidR="00BF46B4" w:rsidRPr="00D30BC1" w14:paraId="0ABF5D8E" w14:textId="77777777" w:rsidTr="00D30BC1">
        <w:trPr>
          <w:trHeight w:val="335"/>
        </w:trPr>
        <w:tc>
          <w:tcPr>
            <w:tcW w:w="1458" w:type="dxa"/>
            <w:shd w:val="clear" w:color="auto" w:fill="auto"/>
            <w:tcMar>
              <w:top w:w="15" w:type="dxa"/>
              <w:left w:w="15" w:type="dxa"/>
              <w:bottom w:w="0" w:type="dxa"/>
              <w:right w:w="15" w:type="dxa"/>
            </w:tcMar>
          </w:tcPr>
          <w:p w14:paraId="1F0F1D33" w14:textId="77777777" w:rsidR="00BF46B4" w:rsidRPr="00D30BC1" w:rsidRDefault="00BF46B4" w:rsidP="00D30BC1">
            <w:pPr>
              <w:rPr>
                <w:rFonts w:ascii="Arial" w:hAnsi="Arial" w:cs="Arial"/>
                <w:sz w:val="20"/>
                <w:szCs w:val="22"/>
              </w:rPr>
            </w:pPr>
            <w:r w:rsidRPr="00D30BC1">
              <w:rPr>
                <w:rFonts w:ascii="Arial" w:hAnsi="Arial" w:cs="Arial"/>
                <w:sz w:val="20"/>
                <w:szCs w:val="22"/>
              </w:rPr>
              <w:t>Penetration</w:t>
            </w:r>
          </w:p>
        </w:tc>
        <w:tc>
          <w:tcPr>
            <w:tcW w:w="1062" w:type="dxa"/>
            <w:shd w:val="clear" w:color="auto" w:fill="auto"/>
          </w:tcPr>
          <w:p w14:paraId="21DFE115" w14:textId="77777777" w:rsidR="00BF46B4" w:rsidRPr="00D30BC1" w:rsidRDefault="00BF46B4" w:rsidP="00D30BC1">
            <w:pPr>
              <w:rPr>
                <w:rFonts w:ascii="Arial" w:hAnsi="Arial" w:cs="Arial"/>
                <w:sz w:val="18"/>
                <w:szCs w:val="22"/>
              </w:rPr>
            </w:pPr>
            <w:r w:rsidRPr="00D30BC1">
              <w:rPr>
                <w:rFonts w:ascii="Arial" w:hAnsi="Arial" w:cs="Arial"/>
                <w:sz w:val="18"/>
                <w:szCs w:val="22"/>
              </w:rPr>
              <w:t>2007 - 1.2</w:t>
            </w:r>
          </w:p>
        </w:tc>
        <w:tc>
          <w:tcPr>
            <w:tcW w:w="7202" w:type="dxa"/>
            <w:shd w:val="clear" w:color="auto" w:fill="auto"/>
            <w:tcMar>
              <w:top w:w="15" w:type="dxa"/>
              <w:left w:w="15" w:type="dxa"/>
              <w:bottom w:w="0" w:type="dxa"/>
              <w:right w:w="15" w:type="dxa"/>
            </w:tcMar>
          </w:tcPr>
          <w:p w14:paraId="24CA94E8"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The intersection of a wellbore with a reservoir.</w:t>
            </w:r>
          </w:p>
        </w:tc>
      </w:tr>
      <w:tr w:rsidR="00BF46B4" w:rsidRPr="00D30BC1" w14:paraId="0E1A9180" w14:textId="77777777" w:rsidTr="00D30BC1">
        <w:trPr>
          <w:trHeight w:val="691"/>
        </w:trPr>
        <w:tc>
          <w:tcPr>
            <w:tcW w:w="1458" w:type="dxa"/>
            <w:shd w:val="clear" w:color="auto" w:fill="auto"/>
            <w:tcMar>
              <w:top w:w="15" w:type="dxa"/>
              <w:left w:w="15" w:type="dxa"/>
              <w:bottom w:w="0" w:type="dxa"/>
              <w:right w:w="15" w:type="dxa"/>
            </w:tcMar>
          </w:tcPr>
          <w:p w14:paraId="6A74B8D2"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Petroleum</w:t>
            </w:r>
          </w:p>
        </w:tc>
        <w:tc>
          <w:tcPr>
            <w:tcW w:w="1062" w:type="dxa"/>
            <w:shd w:val="clear" w:color="auto" w:fill="auto"/>
          </w:tcPr>
          <w:p w14:paraId="1AE33EE3" w14:textId="77777777" w:rsidR="00BF46B4" w:rsidRPr="00D30BC1" w:rsidRDefault="00BF46B4" w:rsidP="00D30BC1">
            <w:pPr>
              <w:rPr>
                <w:rFonts w:ascii="Arial" w:hAnsi="Arial" w:cs="Arial"/>
                <w:sz w:val="18"/>
                <w:szCs w:val="22"/>
              </w:rPr>
            </w:pPr>
            <w:r w:rsidRPr="00D30BC1">
              <w:rPr>
                <w:rFonts w:ascii="Arial" w:hAnsi="Arial" w:cs="Arial"/>
                <w:sz w:val="18"/>
                <w:szCs w:val="22"/>
              </w:rPr>
              <w:t>2007 - 1.0</w:t>
            </w:r>
          </w:p>
        </w:tc>
        <w:tc>
          <w:tcPr>
            <w:tcW w:w="7202" w:type="dxa"/>
            <w:shd w:val="clear" w:color="auto" w:fill="auto"/>
            <w:tcMar>
              <w:top w:w="15" w:type="dxa"/>
              <w:left w:w="15" w:type="dxa"/>
              <w:bottom w:w="0" w:type="dxa"/>
              <w:right w:w="15" w:type="dxa"/>
            </w:tcMar>
          </w:tcPr>
          <w:p w14:paraId="1AF041D7"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rPr>
              <w:t>Petroleum is defined as a naturally occurring mixture consisting of hydrocarbons in the gaseous, liquid, or solid phase.</w:t>
            </w:r>
            <w:r w:rsidRPr="00D30BC1">
              <w:rPr>
                <w:b/>
                <w:bCs/>
                <w:sz w:val="20"/>
              </w:rPr>
              <w:t xml:space="preserve">  </w:t>
            </w:r>
            <w:r w:rsidRPr="00D30BC1">
              <w:rPr>
                <w:rFonts w:ascii="Arial" w:hAnsi="Arial" w:cs="Arial"/>
                <w:sz w:val="20"/>
              </w:rPr>
              <w:t xml:space="preserve">Petroleum may also contain non-hydrocarbon compounds, common examples of which are carbon dioxide, nitrogen, hydrogen sulfide, </w:t>
            </w:r>
            <w:r w:rsidR="00587172" w:rsidRPr="00D30BC1">
              <w:rPr>
                <w:rFonts w:ascii="Arial" w:hAnsi="Arial" w:cs="Arial"/>
                <w:sz w:val="20"/>
              </w:rPr>
              <w:t>and</w:t>
            </w:r>
            <w:r w:rsidRPr="00D30BC1">
              <w:rPr>
                <w:rFonts w:ascii="Arial" w:hAnsi="Arial" w:cs="Arial"/>
                <w:sz w:val="20"/>
              </w:rPr>
              <w:t xml:space="preserve"> sulfur. </w:t>
            </w:r>
            <w:r w:rsidRPr="00D30BC1">
              <w:rPr>
                <w:rFonts w:ascii="Arial" w:hAnsi="Arial" w:cs="Arial"/>
                <w:sz w:val="20"/>
                <w:szCs w:val="22"/>
              </w:rPr>
              <w:t>In rare cases</w:t>
            </w:r>
            <w:r w:rsidR="00587172" w:rsidRPr="00D30BC1">
              <w:rPr>
                <w:rFonts w:ascii="Arial" w:hAnsi="Arial" w:cs="Arial"/>
                <w:sz w:val="20"/>
                <w:szCs w:val="22"/>
              </w:rPr>
              <w:t>,</w:t>
            </w:r>
            <w:r w:rsidRPr="00D30BC1">
              <w:rPr>
                <w:rFonts w:ascii="Arial" w:hAnsi="Arial" w:cs="Arial"/>
                <w:sz w:val="20"/>
                <w:szCs w:val="22"/>
              </w:rPr>
              <w:t xml:space="preserve"> non-hydrocarbon content could be greater than 50%</w:t>
            </w:r>
            <w:r w:rsidRPr="00D30BC1">
              <w:rPr>
                <w:rFonts w:ascii="Arial" w:hAnsi="Arial" w:cs="Arial"/>
                <w:szCs w:val="22"/>
              </w:rPr>
              <w:t>.</w:t>
            </w:r>
          </w:p>
        </w:tc>
      </w:tr>
      <w:tr w:rsidR="00BF46B4" w:rsidRPr="00D30BC1" w14:paraId="3A08ECF7" w14:textId="77777777" w:rsidTr="00D30BC1">
        <w:trPr>
          <w:trHeight w:val="876"/>
        </w:trPr>
        <w:tc>
          <w:tcPr>
            <w:tcW w:w="1458" w:type="dxa"/>
            <w:shd w:val="clear" w:color="auto" w:fill="auto"/>
            <w:tcMar>
              <w:top w:w="15" w:type="dxa"/>
              <w:left w:w="15" w:type="dxa"/>
              <w:bottom w:w="0" w:type="dxa"/>
              <w:right w:w="15" w:type="dxa"/>
            </w:tcMar>
          </w:tcPr>
          <w:p w14:paraId="2C4C9E6A"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Petroleum Initially-in-Place</w:t>
            </w:r>
          </w:p>
        </w:tc>
        <w:tc>
          <w:tcPr>
            <w:tcW w:w="1062" w:type="dxa"/>
            <w:shd w:val="clear" w:color="auto" w:fill="auto"/>
          </w:tcPr>
          <w:p w14:paraId="126603DB" w14:textId="77777777" w:rsidR="00BF46B4" w:rsidRPr="00D30BC1" w:rsidRDefault="00BF46B4" w:rsidP="00D30BC1">
            <w:pPr>
              <w:rPr>
                <w:rFonts w:ascii="Arial" w:hAnsi="Arial" w:cs="Arial"/>
                <w:sz w:val="18"/>
                <w:szCs w:val="22"/>
              </w:rPr>
            </w:pPr>
            <w:r w:rsidRPr="00D30BC1">
              <w:rPr>
                <w:rFonts w:ascii="Arial" w:hAnsi="Arial" w:cs="Arial"/>
                <w:sz w:val="18"/>
                <w:szCs w:val="22"/>
              </w:rPr>
              <w:t>2007 - 1.1</w:t>
            </w:r>
          </w:p>
        </w:tc>
        <w:tc>
          <w:tcPr>
            <w:tcW w:w="7202" w:type="dxa"/>
            <w:shd w:val="clear" w:color="auto" w:fill="auto"/>
            <w:tcMar>
              <w:top w:w="15" w:type="dxa"/>
              <w:left w:w="15" w:type="dxa"/>
              <w:bottom w:w="0" w:type="dxa"/>
              <w:right w:w="15" w:type="dxa"/>
            </w:tcMar>
          </w:tcPr>
          <w:p w14:paraId="6EAE96A3"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 xml:space="preserve">Petroleum Initially-in-Place is the total quantity of petroleum that is estimated to exist originally in naturally occurring reservoirs. Crude Oil-in-place, Natural Gas-in-place and </w:t>
            </w:r>
            <w:r w:rsidR="00587172" w:rsidRPr="00D30BC1">
              <w:rPr>
                <w:rFonts w:ascii="Arial" w:hAnsi="Arial" w:cs="Arial"/>
                <w:sz w:val="20"/>
                <w:szCs w:val="22"/>
              </w:rPr>
              <w:t>Natural Bitumen-in-place</w:t>
            </w:r>
            <w:r w:rsidRPr="00D30BC1">
              <w:rPr>
                <w:rFonts w:ascii="Arial" w:hAnsi="Arial" w:cs="Arial"/>
                <w:sz w:val="20"/>
                <w:szCs w:val="22"/>
              </w:rPr>
              <w:t xml:space="preserve"> </w:t>
            </w:r>
            <w:r w:rsidR="00587172" w:rsidRPr="00D30BC1">
              <w:rPr>
                <w:rFonts w:ascii="Arial" w:hAnsi="Arial" w:cs="Arial"/>
                <w:sz w:val="20"/>
                <w:szCs w:val="22"/>
              </w:rPr>
              <w:t xml:space="preserve">are defined in the same manner </w:t>
            </w:r>
            <w:r w:rsidRPr="00D30BC1">
              <w:rPr>
                <w:rFonts w:ascii="Arial" w:hAnsi="Arial" w:cs="Arial"/>
                <w:sz w:val="20"/>
                <w:szCs w:val="22"/>
              </w:rPr>
              <w:t>(see Resources)</w:t>
            </w:r>
            <w:r w:rsidR="00587172" w:rsidRPr="00D30BC1">
              <w:rPr>
                <w:rFonts w:ascii="Arial" w:hAnsi="Arial" w:cs="Arial"/>
                <w:sz w:val="20"/>
                <w:szCs w:val="22"/>
              </w:rPr>
              <w:t>.</w:t>
            </w:r>
            <w:r w:rsidRPr="00D30BC1">
              <w:rPr>
                <w:rFonts w:ascii="Arial" w:hAnsi="Arial" w:cs="Arial"/>
                <w:sz w:val="20"/>
                <w:szCs w:val="22"/>
              </w:rPr>
              <w:t xml:space="preserve"> (</w:t>
            </w:r>
            <w:r w:rsidR="00587172" w:rsidRPr="00D30BC1">
              <w:rPr>
                <w:rFonts w:ascii="Arial" w:hAnsi="Arial" w:cs="Arial"/>
                <w:sz w:val="20"/>
                <w:szCs w:val="22"/>
              </w:rPr>
              <w:t>A</w:t>
            </w:r>
            <w:r w:rsidRPr="00D30BC1">
              <w:rPr>
                <w:rFonts w:ascii="Arial" w:hAnsi="Arial" w:cs="Arial"/>
                <w:sz w:val="20"/>
                <w:szCs w:val="22"/>
              </w:rPr>
              <w:t>lso referred as Total Resource Base or Hydrocarbon Endowment</w:t>
            </w:r>
            <w:r w:rsidR="00587172" w:rsidRPr="00D30BC1">
              <w:rPr>
                <w:rFonts w:ascii="Arial" w:hAnsi="Arial" w:cs="Arial"/>
                <w:sz w:val="20"/>
                <w:szCs w:val="22"/>
              </w:rPr>
              <w:t>.</w:t>
            </w:r>
            <w:r w:rsidRPr="00D30BC1">
              <w:rPr>
                <w:rFonts w:ascii="Arial" w:hAnsi="Arial" w:cs="Arial"/>
                <w:sz w:val="20"/>
                <w:szCs w:val="22"/>
              </w:rPr>
              <w:t>)</w:t>
            </w:r>
          </w:p>
          <w:p w14:paraId="3AD5E041" w14:textId="77777777" w:rsidR="00BF46B4" w:rsidRPr="00D30BC1" w:rsidRDefault="00BF46B4" w:rsidP="00D30BC1">
            <w:pPr>
              <w:spacing w:after="120"/>
              <w:rPr>
                <w:rFonts w:ascii="Arial" w:eastAsia="Arial Unicode MS" w:hAnsi="Arial" w:cs="Arial"/>
                <w:sz w:val="20"/>
                <w:szCs w:val="22"/>
              </w:rPr>
            </w:pPr>
          </w:p>
        </w:tc>
      </w:tr>
      <w:tr w:rsidR="00BF46B4" w:rsidRPr="00D30BC1" w14:paraId="05C038BF" w14:textId="77777777" w:rsidTr="00D30BC1">
        <w:trPr>
          <w:trHeight w:val="644"/>
        </w:trPr>
        <w:tc>
          <w:tcPr>
            <w:tcW w:w="1458" w:type="dxa"/>
            <w:shd w:val="clear" w:color="auto" w:fill="auto"/>
            <w:tcMar>
              <w:top w:w="15" w:type="dxa"/>
              <w:left w:w="15" w:type="dxa"/>
              <w:bottom w:w="0" w:type="dxa"/>
              <w:right w:w="15" w:type="dxa"/>
            </w:tcMar>
          </w:tcPr>
          <w:p w14:paraId="037780EC"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Pilot Project</w:t>
            </w:r>
          </w:p>
        </w:tc>
        <w:tc>
          <w:tcPr>
            <w:tcW w:w="1062" w:type="dxa"/>
            <w:shd w:val="clear" w:color="auto" w:fill="auto"/>
          </w:tcPr>
          <w:p w14:paraId="1A999243"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2007 - 2.3.4, 2.4</w:t>
            </w:r>
          </w:p>
        </w:tc>
        <w:tc>
          <w:tcPr>
            <w:tcW w:w="7202" w:type="dxa"/>
            <w:shd w:val="clear" w:color="auto" w:fill="auto"/>
            <w:tcMar>
              <w:top w:w="15" w:type="dxa"/>
              <w:left w:w="15" w:type="dxa"/>
              <w:bottom w:w="0" w:type="dxa"/>
              <w:right w:w="15" w:type="dxa"/>
            </w:tcMar>
          </w:tcPr>
          <w:p w14:paraId="108CD47B"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A small-scale test or trial operation that is used to assess the suitability of a method for commercial application.</w:t>
            </w:r>
          </w:p>
        </w:tc>
      </w:tr>
      <w:tr w:rsidR="00BF46B4" w:rsidRPr="00D30BC1" w14:paraId="3EFE98AF" w14:textId="77777777" w:rsidTr="00D30BC1">
        <w:trPr>
          <w:trHeight w:val="1048"/>
        </w:trPr>
        <w:tc>
          <w:tcPr>
            <w:tcW w:w="1458" w:type="dxa"/>
            <w:shd w:val="clear" w:color="auto" w:fill="auto"/>
            <w:tcMar>
              <w:top w:w="15" w:type="dxa"/>
              <w:left w:w="15" w:type="dxa"/>
              <w:bottom w:w="0" w:type="dxa"/>
              <w:right w:w="15" w:type="dxa"/>
            </w:tcMar>
          </w:tcPr>
          <w:p w14:paraId="3A4DA47F" w14:textId="77777777" w:rsidR="00BF46B4" w:rsidRPr="00D30BC1" w:rsidRDefault="00BF46B4" w:rsidP="00D30BC1">
            <w:pPr>
              <w:rPr>
                <w:rFonts w:ascii="Arial" w:eastAsia="Arial Unicode MS" w:hAnsi="Arial" w:cs="Arial"/>
                <w:sz w:val="20"/>
                <w:szCs w:val="22"/>
                <w:lang w:val="nb-NO"/>
              </w:rPr>
            </w:pPr>
            <w:r w:rsidRPr="00D30BC1">
              <w:rPr>
                <w:rFonts w:ascii="Arial" w:hAnsi="Arial" w:cs="Arial"/>
                <w:sz w:val="20"/>
                <w:szCs w:val="22"/>
                <w:lang w:val="nb-NO"/>
              </w:rPr>
              <w:t>Play</w:t>
            </w:r>
          </w:p>
        </w:tc>
        <w:tc>
          <w:tcPr>
            <w:tcW w:w="1062" w:type="dxa"/>
            <w:shd w:val="clear" w:color="auto" w:fill="auto"/>
          </w:tcPr>
          <w:p w14:paraId="4FAC5CF3" w14:textId="77777777" w:rsidR="00BF46B4" w:rsidRPr="00D30BC1" w:rsidRDefault="006F50BB" w:rsidP="00D30BC1">
            <w:pPr>
              <w:rPr>
                <w:rFonts w:ascii="Arial" w:hAnsi="Arial" w:cs="Arial"/>
                <w:sz w:val="18"/>
                <w:szCs w:val="22"/>
              </w:rPr>
            </w:pPr>
            <w:r w:rsidRPr="00D30BC1">
              <w:rPr>
                <w:rFonts w:ascii="Arial" w:hAnsi="Arial" w:cs="Arial"/>
                <w:sz w:val="18"/>
                <w:szCs w:val="22"/>
              </w:rPr>
              <w:t>2007 - 2.1.3.1 and Table 1</w:t>
            </w:r>
          </w:p>
        </w:tc>
        <w:tc>
          <w:tcPr>
            <w:tcW w:w="7202" w:type="dxa"/>
            <w:shd w:val="clear" w:color="auto" w:fill="auto"/>
            <w:tcMar>
              <w:top w:w="15" w:type="dxa"/>
              <w:left w:w="15" w:type="dxa"/>
              <w:bottom w:w="0" w:type="dxa"/>
              <w:right w:w="15" w:type="dxa"/>
            </w:tcMar>
          </w:tcPr>
          <w:p w14:paraId="2276B4B0"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18"/>
              </w:rPr>
              <w:t xml:space="preserve">A project associated with a prospective trend of potential prospects, but which requires more data acquisition and/or evaluation in order to define specific leads or prospects. </w:t>
            </w:r>
            <w:r w:rsidRPr="00D30BC1">
              <w:rPr>
                <w:rFonts w:ascii="Arial" w:hAnsi="Arial" w:cs="Arial"/>
                <w:sz w:val="20"/>
                <w:szCs w:val="22"/>
              </w:rPr>
              <w:t>A project maturity sub-class that reflects the actions re</w:t>
            </w:r>
            <w:r w:rsidR="006F50BB" w:rsidRPr="00D30BC1">
              <w:rPr>
                <w:rFonts w:ascii="Arial" w:hAnsi="Arial" w:cs="Arial"/>
                <w:sz w:val="20"/>
                <w:szCs w:val="22"/>
              </w:rPr>
              <w:t>quired to move a project toward</w:t>
            </w:r>
            <w:r w:rsidRPr="00D30BC1">
              <w:rPr>
                <w:rFonts w:ascii="Arial" w:hAnsi="Arial" w:cs="Arial"/>
                <w:sz w:val="20"/>
                <w:szCs w:val="22"/>
              </w:rPr>
              <w:t xml:space="preserve"> commercial production.</w:t>
            </w:r>
          </w:p>
        </w:tc>
      </w:tr>
      <w:tr w:rsidR="00BF46B4" w:rsidRPr="00D30BC1" w14:paraId="0154FA13" w14:textId="77777777" w:rsidTr="00D30BC1">
        <w:trPr>
          <w:trHeight w:val="413"/>
        </w:trPr>
        <w:tc>
          <w:tcPr>
            <w:tcW w:w="1458" w:type="dxa"/>
            <w:shd w:val="clear" w:color="auto" w:fill="auto"/>
            <w:tcMar>
              <w:top w:w="15" w:type="dxa"/>
              <w:left w:w="15" w:type="dxa"/>
              <w:bottom w:w="0" w:type="dxa"/>
              <w:right w:w="15" w:type="dxa"/>
            </w:tcMar>
          </w:tcPr>
          <w:p w14:paraId="483435C2"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Pool</w:t>
            </w:r>
          </w:p>
        </w:tc>
        <w:tc>
          <w:tcPr>
            <w:tcW w:w="1062" w:type="dxa"/>
            <w:shd w:val="clear" w:color="auto" w:fill="auto"/>
          </w:tcPr>
          <w:p w14:paraId="15FF388F"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7B297AB2"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An individual and separate accumulation of petroleum in a reservoir.</w:t>
            </w:r>
          </w:p>
        </w:tc>
      </w:tr>
      <w:tr w:rsidR="00BF46B4" w:rsidRPr="00D30BC1" w14:paraId="60D368AD" w14:textId="77777777" w:rsidTr="00D30BC1">
        <w:trPr>
          <w:trHeight w:val="1763"/>
        </w:trPr>
        <w:tc>
          <w:tcPr>
            <w:tcW w:w="1458" w:type="dxa"/>
            <w:shd w:val="clear" w:color="auto" w:fill="auto"/>
            <w:tcMar>
              <w:top w:w="15" w:type="dxa"/>
              <w:left w:w="15" w:type="dxa"/>
              <w:bottom w:w="0" w:type="dxa"/>
              <w:right w:w="15" w:type="dxa"/>
            </w:tcMar>
          </w:tcPr>
          <w:p w14:paraId="340A64AC"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Possible Reserves</w:t>
            </w:r>
          </w:p>
        </w:tc>
        <w:tc>
          <w:tcPr>
            <w:tcW w:w="1062" w:type="dxa"/>
            <w:shd w:val="clear" w:color="auto" w:fill="auto"/>
          </w:tcPr>
          <w:p w14:paraId="0DC4F60D" w14:textId="77777777" w:rsidR="00BF46B4" w:rsidRPr="00D30BC1" w:rsidRDefault="00BF46B4" w:rsidP="00D30BC1">
            <w:pPr>
              <w:pStyle w:val="NormalWeb"/>
              <w:rPr>
                <w:color w:val="auto"/>
                <w:sz w:val="18"/>
                <w:szCs w:val="22"/>
              </w:rPr>
            </w:pPr>
            <w:r w:rsidRPr="00D30BC1">
              <w:rPr>
                <w:color w:val="auto"/>
                <w:sz w:val="18"/>
                <w:szCs w:val="22"/>
              </w:rPr>
              <w:t xml:space="preserve">2007 - 2.2.2 and Table </w:t>
            </w:r>
            <w:r w:rsidR="006F50BB" w:rsidRPr="00D30BC1">
              <w:rPr>
                <w:color w:val="auto"/>
                <w:sz w:val="18"/>
                <w:szCs w:val="22"/>
              </w:rPr>
              <w:t>3</w:t>
            </w:r>
          </w:p>
        </w:tc>
        <w:tc>
          <w:tcPr>
            <w:tcW w:w="7202" w:type="dxa"/>
            <w:shd w:val="clear" w:color="auto" w:fill="auto"/>
            <w:tcMar>
              <w:top w:w="15" w:type="dxa"/>
              <w:left w:w="15" w:type="dxa"/>
              <w:bottom w:w="0" w:type="dxa"/>
              <w:right w:w="15" w:type="dxa"/>
            </w:tcMar>
          </w:tcPr>
          <w:p w14:paraId="58200E5A"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An incremental category of estimated recoverable volumes associated with a defined degree of uncertainty. </w:t>
            </w:r>
            <w:r w:rsidRPr="00D30BC1">
              <w:rPr>
                <w:rFonts w:ascii="Arial" w:hAnsi="Arial" w:cs="Arial"/>
                <w:sz w:val="20"/>
              </w:rPr>
              <w:t>Possible Reserves are those additional reserves which analysis of geoscience and engineering data suggest are less likely to be recoverable than Probable Reserves. The total quantities ultimately recovered from the project have a low probability to exceed the sum of Proved plus Probable plus Possible (3P)</w:t>
            </w:r>
            <w:r w:rsidR="006F50BB" w:rsidRPr="00D30BC1">
              <w:rPr>
                <w:rFonts w:ascii="Arial" w:hAnsi="Arial" w:cs="Arial"/>
                <w:sz w:val="20"/>
              </w:rPr>
              <w:t>,</w:t>
            </w:r>
            <w:r w:rsidRPr="00D30BC1">
              <w:rPr>
                <w:rFonts w:ascii="Arial" w:hAnsi="Arial" w:cs="Arial"/>
                <w:sz w:val="20"/>
              </w:rPr>
              <w:t xml:space="preserve"> which is equivalent to the high estimate scenario. When probabilistic methods are used, there should be at least a 10% probability that the actual quantities recovered will equal or exceed the 3P estimate.</w:t>
            </w:r>
          </w:p>
        </w:tc>
      </w:tr>
      <w:tr w:rsidR="00BF46B4" w:rsidRPr="00D30BC1" w14:paraId="54398E17" w14:textId="77777777" w:rsidTr="00D30BC1">
        <w:trPr>
          <w:trHeight w:val="629"/>
        </w:trPr>
        <w:tc>
          <w:tcPr>
            <w:tcW w:w="1458" w:type="dxa"/>
            <w:shd w:val="clear" w:color="auto" w:fill="auto"/>
            <w:tcMar>
              <w:top w:w="15" w:type="dxa"/>
              <w:left w:w="15" w:type="dxa"/>
              <w:bottom w:w="0" w:type="dxa"/>
              <w:right w:w="15" w:type="dxa"/>
            </w:tcMar>
          </w:tcPr>
          <w:p w14:paraId="29638C11"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Primary Recovery</w:t>
            </w:r>
          </w:p>
        </w:tc>
        <w:tc>
          <w:tcPr>
            <w:tcW w:w="1062" w:type="dxa"/>
            <w:shd w:val="clear" w:color="auto" w:fill="auto"/>
          </w:tcPr>
          <w:p w14:paraId="6B012C22" w14:textId="77777777" w:rsidR="00BF46B4" w:rsidRPr="00D30BC1" w:rsidRDefault="00BF46B4" w:rsidP="00D30BC1">
            <w:pPr>
              <w:pStyle w:val="BodyText"/>
              <w:rPr>
                <w:sz w:val="18"/>
                <w:u w:color="000000"/>
              </w:rPr>
            </w:pPr>
          </w:p>
        </w:tc>
        <w:tc>
          <w:tcPr>
            <w:tcW w:w="7202" w:type="dxa"/>
            <w:shd w:val="clear" w:color="auto" w:fill="auto"/>
            <w:tcMar>
              <w:top w:w="15" w:type="dxa"/>
              <w:left w:w="15" w:type="dxa"/>
              <w:bottom w:w="0" w:type="dxa"/>
              <w:right w:w="15" w:type="dxa"/>
            </w:tcMar>
          </w:tcPr>
          <w:p w14:paraId="27070AE4" w14:textId="77777777" w:rsidR="00BF46B4" w:rsidRPr="00D30BC1" w:rsidRDefault="00BF46B4" w:rsidP="00BF5934">
            <w:pPr>
              <w:pStyle w:val="CommentText"/>
              <w:spacing w:after="120"/>
              <w:rPr>
                <w:rFonts w:ascii="Arial" w:eastAsia="Arial Unicode MS" w:hAnsi="Arial" w:cs="Arial"/>
                <w:sz w:val="8"/>
                <w:szCs w:val="24"/>
                <w:u w:val="single" w:color="000000"/>
              </w:rPr>
            </w:pPr>
            <w:r w:rsidRPr="00D30BC1">
              <w:rPr>
                <w:rFonts w:ascii="Arial" w:hAnsi="Arial" w:cs="Arial"/>
                <w:szCs w:val="24"/>
                <w:u w:color="000000"/>
              </w:rPr>
              <w:t>Primary recovery is the extraction of petroleum from reservoirs u</w:t>
            </w:r>
            <w:r w:rsidR="00BF5934">
              <w:rPr>
                <w:rFonts w:ascii="Arial" w:hAnsi="Arial" w:cs="Arial"/>
                <w:szCs w:val="24"/>
                <w:u w:color="000000"/>
              </w:rPr>
              <w:t>s</w:t>
            </w:r>
            <w:r w:rsidRPr="00D30BC1">
              <w:rPr>
                <w:rFonts w:ascii="Arial" w:hAnsi="Arial" w:cs="Arial"/>
                <w:szCs w:val="24"/>
                <w:u w:color="000000"/>
              </w:rPr>
              <w:t>ing only the natural energy available in the reservoirs to move fluids through the reservoir rock to other points of recovery.</w:t>
            </w:r>
          </w:p>
        </w:tc>
      </w:tr>
      <w:tr w:rsidR="00BF46B4" w:rsidRPr="00D30BC1" w14:paraId="4A403C46" w14:textId="77777777" w:rsidTr="00D30BC1">
        <w:trPr>
          <w:trHeight w:val="845"/>
        </w:trPr>
        <w:tc>
          <w:tcPr>
            <w:tcW w:w="1458" w:type="dxa"/>
            <w:shd w:val="clear" w:color="auto" w:fill="auto"/>
            <w:tcMar>
              <w:top w:w="15" w:type="dxa"/>
              <w:left w:w="15" w:type="dxa"/>
              <w:bottom w:w="0" w:type="dxa"/>
              <w:right w:w="15" w:type="dxa"/>
            </w:tcMar>
          </w:tcPr>
          <w:p w14:paraId="3F0CEA36" w14:textId="77777777" w:rsidR="00BF46B4" w:rsidRPr="00D30BC1" w:rsidRDefault="00BF46B4" w:rsidP="00D30BC1">
            <w:pPr>
              <w:rPr>
                <w:rFonts w:ascii="Arial" w:hAnsi="Arial" w:cs="Arial"/>
                <w:sz w:val="20"/>
                <w:szCs w:val="22"/>
              </w:rPr>
            </w:pPr>
            <w:r w:rsidRPr="00D30BC1">
              <w:rPr>
                <w:rFonts w:ascii="Arial" w:hAnsi="Arial" w:cs="Arial"/>
                <w:sz w:val="20"/>
                <w:szCs w:val="22"/>
              </w:rPr>
              <w:t>Probability</w:t>
            </w:r>
          </w:p>
        </w:tc>
        <w:tc>
          <w:tcPr>
            <w:tcW w:w="1062" w:type="dxa"/>
            <w:shd w:val="clear" w:color="auto" w:fill="auto"/>
          </w:tcPr>
          <w:p w14:paraId="6D81FBFF"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w:t>
            </w:r>
            <w:r w:rsidR="00587172" w:rsidRPr="00D30BC1">
              <w:rPr>
                <w:rFonts w:ascii="Arial" w:hAnsi="Arial" w:cs="Arial"/>
                <w:sz w:val="18"/>
                <w:szCs w:val="22"/>
              </w:rPr>
              <w:t>-</w:t>
            </w:r>
            <w:r w:rsidRPr="00D30BC1">
              <w:rPr>
                <w:rFonts w:ascii="Arial" w:hAnsi="Arial" w:cs="Arial"/>
                <w:sz w:val="18"/>
                <w:szCs w:val="22"/>
              </w:rPr>
              <w:t xml:space="preserve"> 2.2.1</w:t>
            </w:r>
          </w:p>
        </w:tc>
        <w:tc>
          <w:tcPr>
            <w:tcW w:w="7202" w:type="dxa"/>
            <w:shd w:val="clear" w:color="auto" w:fill="auto"/>
            <w:tcMar>
              <w:top w:w="15" w:type="dxa"/>
              <w:left w:w="15" w:type="dxa"/>
              <w:bottom w:w="0" w:type="dxa"/>
              <w:right w:w="15" w:type="dxa"/>
            </w:tcMar>
          </w:tcPr>
          <w:p w14:paraId="2EAD526F"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The extent to which an event is likely to occur, measured by the ratio of the favorable cases to the whole number of cases possible. SPE convention is to quote cumulative probability of exceeding or equaling a quantity where P90 is the small estimate and P10 is the large estimate. (</w:t>
            </w:r>
            <w:r w:rsidR="00587172" w:rsidRPr="00D30BC1">
              <w:rPr>
                <w:rFonts w:ascii="Arial" w:hAnsi="Arial" w:cs="Arial"/>
                <w:sz w:val="20"/>
                <w:szCs w:val="22"/>
              </w:rPr>
              <w:t>S</w:t>
            </w:r>
            <w:r w:rsidRPr="00D30BC1">
              <w:rPr>
                <w:rFonts w:ascii="Arial" w:hAnsi="Arial" w:cs="Arial"/>
                <w:sz w:val="20"/>
                <w:szCs w:val="22"/>
              </w:rPr>
              <w:t>ee also Uncertainty</w:t>
            </w:r>
            <w:r w:rsidR="00587172" w:rsidRPr="00D30BC1">
              <w:rPr>
                <w:rFonts w:ascii="Arial" w:hAnsi="Arial" w:cs="Arial"/>
                <w:sz w:val="20"/>
                <w:szCs w:val="22"/>
              </w:rPr>
              <w:t>.)</w:t>
            </w:r>
          </w:p>
        </w:tc>
      </w:tr>
      <w:tr w:rsidR="00BF46B4" w:rsidRPr="00D30BC1" w14:paraId="7A597047" w14:textId="77777777" w:rsidTr="00D30BC1">
        <w:trPr>
          <w:trHeight w:val="845"/>
        </w:trPr>
        <w:tc>
          <w:tcPr>
            <w:tcW w:w="1458" w:type="dxa"/>
            <w:shd w:val="clear" w:color="auto" w:fill="auto"/>
            <w:tcMar>
              <w:top w:w="15" w:type="dxa"/>
              <w:left w:w="15" w:type="dxa"/>
              <w:bottom w:w="0" w:type="dxa"/>
              <w:right w:w="15" w:type="dxa"/>
            </w:tcMar>
          </w:tcPr>
          <w:p w14:paraId="1D551C01" w14:textId="77777777" w:rsidR="00BF46B4" w:rsidRPr="00D30BC1" w:rsidRDefault="00BF46B4" w:rsidP="00D30BC1">
            <w:pPr>
              <w:rPr>
                <w:rFonts w:ascii="Arial" w:hAnsi="Arial" w:cs="Arial"/>
                <w:sz w:val="20"/>
                <w:szCs w:val="22"/>
              </w:rPr>
            </w:pPr>
            <w:r w:rsidRPr="00D30BC1">
              <w:rPr>
                <w:rFonts w:ascii="Arial" w:hAnsi="Arial" w:cs="Arial"/>
                <w:sz w:val="20"/>
                <w:szCs w:val="22"/>
              </w:rPr>
              <w:t>Probabilistic Estimate</w:t>
            </w:r>
          </w:p>
        </w:tc>
        <w:tc>
          <w:tcPr>
            <w:tcW w:w="1062" w:type="dxa"/>
            <w:shd w:val="clear" w:color="auto" w:fill="auto"/>
          </w:tcPr>
          <w:p w14:paraId="65200C48" w14:textId="77777777" w:rsidR="00BF46B4" w:rsidRPr="00D30BC1" w:rsidRDefault="00BF46B4" w:rsidP="00D30BC1">
            <w:pPr>
              <w:rPr>
                <w:rFonts w:ascii="Arial" w:hAnsi="Arial" w:cs="Arial"/>
                <w:sz w:val="18"/>
                <w:szCs w:val="22"/>
              </w:rPr>
            </w:pPr>
            <w:r w:rsidRPr="00D30BC1">
              <w:rPr>
                <w:rFonts w:ascii="Arial" w:hAnsi="Arial" w:cs="Arial"/>
                <w:sz w:val="18"/>
                <w:szCs w:val="22"/>
              </w:rPr>
              <w:t>2007 - 3.5</w:t>
            </w:r>
          </w:p>
        </w:tc>
        <w:tc>
          <w:tcPr>
            <w:tcW w:w="7202" w:type="dxa"/>
            <w:shd w:val="clear" w:color="auto" w:fill="auto"/>
            <w:tcMar>
              <w:top w:w="15" w:type="dxa"/>
              <w:left w:w="15" w:type="dxa"/>
              <w:bottom w:w="0" w:type="dxa"/>
              <w:right w:w="15" w:type="dxa"/>
            </w:tcMar>
          </w:tcPr>
          <w:p w14:paraId="19840FA8"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The method of estimation of Resources is called probabilistic when the known geoscience, engineering, and economic data are used to generate a continuous range of estimates and their associated probabilities. </w:t>
            </w:r>
          </w:p>
        </w:tc>
      </w:tr>
      <w:tr w:rsidR="00BF46B4" w:rsidRPr="00D30BC1" w14:paraId="22EAAB4F" w14:textId="77777777" w:rsidTr="00D30BC1">
        <w:trPr>
          <w:trHeight w:val="845"/>
        </w:trPr>
        <w:tc>
          <w:tcPr>
            <w:tcW w:w="1458" w:type="dxa"/>
            <w:shd w:val="clear" w:color="auto" w:fill="auto"/>
            <w:tcMar>
              <w:top w:w="15" w:type="dxa"/>
              <w:left w:w="15" w:type="dxa"/>
              <w:bottom w:w="0" w:type="dxa"/>
              <w:right w:w="15" w:type="dxa"/>
            </w:tcMar>
          </w:tcPr>
          <w:p w14:paraId="5435423D"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Probable Reserves</w:t>
            </w:r>
          </w:p>
        </w:tc>
        <w:tc>
          <w:tcPr>
            <w:tcW w:w="1062" w:type="dxa"/>
            <w:shd w:val="clear" w:color="auto" w:fill="auto"/>
          </w:tcPr>
          <w:p w14:paraId="1A3AEE1C" w14:textId="77777777" w:rsidR="00BF46B4" w:rsidRPr="00D30BC1" w:rsidRDefault="00BF46B4" w:rsidP="00D30BC1">
            <w:pPr>
              <w:pStyle w:val="BodyText2"/>
              <w:jc w:val="left"/>
              <w:rPr>
                <w:b w:val="0"/>
                <w:bCs w:val="0"/>
                <w:color w:val="auto"/>
                <w:sz w:val="18"/>
              </w:rPr>
            </w:pPr>
            <w:r w:rsidRPr="00D30BC1">
              <w:rPr>
                <w:b w:val="0"/>
                <w:bCs w:val="0"/>
                <w:color w:val="auto"/>
                <w:sz w:val="18"/>
              </w:rPr>
              <w:t xml:space="preserve">2007 - 2.2.2 and Table </w:t>
            </w:r>
            <w:r w:rsidR="00A745CB" w:rsidRPr="00D30BC1">
              <w:rPr>
                <w:b w:val="0"/>
                <w:bCs w:val="0"/>
                <w:color w:val="auto"/>
                <w:sz w:val="18"/>
              </w:rPr>
              <w:t>3</w:t>
            </w:r>
          </w:p>
        </w:tc>
        <w:tc>
          <w:tcPr>
            <w:tcW w:w="7202" w:type="dxa"/>
            <w:shd w:val="clear" w:color="auto" w:fill="auto"/>
            <w:tcMar>
              <w:top w:w="15" w:type="dxa"/>
              <w:left w:w="15" w:type="dxa"/>
              <w:bottom w:w="0" w:type="dxa"/>
              <w:right w:w="15" w:type="dxa"/>
            </w:tcMar>
          </w:tcPr>
          <w:p w14:paraId="61CD7ABE"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0"/>
              </w:rPr>
              <w:t>An incremental category of estimated recoverable volumes associated with a defined degree of uncertainty. Probable Reserves are those additional Reserves that are less likely to be recovered than Proved Reserves but more certain to be recovered than Possible Reserves. It is equally likely that actual remaining quantities recovered will be greater than or less than the sum of the estimated Proved plus Probable Reserves (2P). In this context, when probabilistic methods are used, there should be at least a 50% probability that the actual quantities recovered will equal or exceed the 2P estimate</w:t>
            </w:r>
            <w:r w:rsidRPr="00D30BC1">
              <w:t>.</w:t>
            </w:r>
          </w:p>
        </w:tc>
      </w:tr>
      <w:tr w:rsidR="00BF46B4" w:rsidRPr="00D30BC1" w14:paraId="06622BDC" w14:textId="77777777" w:rsidTr="00D30BC1">
        <w:trPr>
          <w:trHeight w:val="1372"/>
        </w:trPr>
        <w:tc>
          <w:tcPr>
            <w:tcW w:w="1458" w:type="dxa"/>
            <w:shd w:val="clear" w:color="auto" w:fill="auto"/>
            <w:tcMar>
              <w:top w:w="15" w:type="dxa"/>
              <w:left w:w="15" w:type="dxa"/>
              <w:bottom w:w="0" w:type="dxa"/>
              <w:right w:w="15" w:type="dxa"/>
            </w:tcMar>
          </w:tcPr>
          <w:p w14:paraId="1FBAB8D6"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Production</w:t>
            </w:r>
          </w:p>
        </w:tc>
        <w:tc>
          <w:tcPr>
            <w:tcW w:w="1062" w:type="dxa"/>
            <w:shd w:val="clear" w:color="auto" w:fill="auto"/>
          </w:tcPr>
          <w:p w14:paraId="5951B9FD" w14:textId="77777777" w:rsidR="00BF46B4" w:rsidRPr="00D30BC1" w:rsidRDefault="00BF46B4" w:rsidP="00D30BC1">
            <w:pPr>
              <w:rPr>
                <w:rStyle w:val="header3burg"/>
                <w:rFonts w:ascii="Arial" w:hAnsi="Arial" w:cs="Arial"/>
                <w:sz w:val="18"/>
              </w:rPr>
            </w:pPr>
            <w:r w:rsidRPr="00D30BC1">
              <w:rPr>
                <w:rStyle w:val="header3burg"/>
                <w:rFonts w:ascii="Arial" w:hAnsi="Arial" w:cs="Arial"/>
                <w:sz w:val="18"/>
              </w:rPr>
              <w:t>2007 - 1.1</w:t>
            </w:r>
          </w:p>
        </w:tc>
        <w:tc>
          <w:tcPr>
            <w:tcW w:w="7202" w:type="dxa"/>
            <w:shd w:val="clear" w:color="auto" w:fill="auto"/>
            <w:tcMar>
              <w:top w:w="15" w:type="dxa"/>
              <w:left w:w="15" w:type="dxa"/>
              <w:bottom w:w="0" w:type="dxa"/>
              <w:right w:w="15" w:type="dxa"/>
            </w:tcMar>
          </w:tcPr>
          <w:p w14:paraId="2F590D5B" w14:textId="77777777" w:rsidR="00BF46B4" w:rsidRPr="00D30BC1" w:rsidRDefault="00BF46B4" w:rsidP="00D30BC1">
            <w:pPr>
              <w:spacing w:after="120"/>
              <w:rPr>
                <w:rFonts w:ascii="Arial" w:eastAsia="Arial Unicode MS" w:hAnsi="Arial" w:cs="Arial"/>
                <w:sz w:val="20"/>
                <w:szCs w:val="22"/>
              </w:rPr>
            </w:pPr>
            <w:r w:rsidRPr="00D30BC1">
              <w:rPr>
                <w:rStyle w:val="header3burg"/>
                <w:rFonts w:ascii="Arial" w:hAnsi="Arial" w:cs="Arial"/>
                <w:sz w:val="20"/>
              </w:rPr>
              <w:t xml:space="preserve">Production is the cumulative </w:t>
            </w:r>
            <w:r w:rsidRPr="00D30BC1">
              <w:rPr>
                <w:rFonts w:ascii="Arial" w:hAnsi="Arial" w:cs="Arial"/>
                <w:sz w:val="20"/>
              </w:rPr>
              <w:t xml:space="preserve">quantity of petroleum that has been actually recovered over a defined time period. While all recoverable resource estimates and production are reported in terms of the sales product specifications, raw production quantities (sales and non-sales, including non-hydrocarbons) are also measured to support engineering analyses requiring reservoir voidage calculations. </w:t>
            </w:r>
          </w:p>
        </w:tc>
      </w:tr>
      <w:tr w:rsidR="00BF46B4" w:rsidRPr="00D30BC1" w14:paraId="76F0275C" w14:textId="77777777" w:rsidTr="00D30BC1">
        <w:trPr>
          <w:trHeight w:val="1492"/>
        </w:trPr>
        <w:tc>
          <w:tcPr>
            <w:tcW w:w="1458" w:type="dxa"/>
            <w:shd w:val="clear" w:color="auto" w:fill="auto"/>
            <w:tcMar>
              <w:top w:w="15" w:type="dxa"/>
              <w:left w:w="15" w:type="dxa"/>
              <w:bottom w:w="0" w:type="dxa"/>
              <w:right w:w="15" w:type="dxa"/>
            </w:tcMar>
          </w:tcPr>
          <w:p w14:paraId="7F395B8D"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Production- Sharing Contract</w:t>
            </w:r>
          </w:p>
        </w:tc>
        <w:tc>
          <w:tcPr>
            <w:tcW w:w="1062" w:type="dxa"/>
            <w:shd w:val="clear" w:color="auto" w:fill="auto"/>
          </w:tcPr>
          <w:p w14:paraId="567A3F1C" w14:textId="77777777" w:rsidR="00BF46B4" w:rsidRPr="00D30BC1" w:rsidRDefault="00BF46B4" w:rsidP="00D30BC1">
            <w:pPr>
              <w:rPr>
                <w:rFonts w:ascii="Arial" w:hAnsi="Arial" w:cs="Arial"/>
                <w:sz w:val="18"/>
                <w:szCs w:val="22"/>
              </w:rPr>
            </w:pPr>
            <w:r w:rsidRPr="00D30BC1">
              <w:rPr>
                <w:rFonts w:ascii="Arial" w:hAnsi="Arial" w:cs="Arial"/>
                <w:sz w:val="18"/>
                <w:szCs w:val="22"/>
              </w:rPr>
              <w:t>2007 - 3.3.2</w:t>
            </w:r>
          </w:p>
          <w:p w14:paraId="2AD3FE00" w14:textId="77777777" w:rsidR="00BF46B4" w:rsidRPr="00D30BC1" w:rsidRDefault="00BF46B4" w:rsidP="00D30BC1">
            <w:pPr>
              <w:rPr>
                <w:rFonts w:ascii="Arial" w:hAnsi="Arial" w:cs="Arial"/>
                <w:sz w:val="18"/>
                <w:szCs w:val="22"/>
              </w:rPr>
            </w:pPr>
            <w:r w:rsidRPr="00D30BC1">
              <w:rPr>
                <w:rFonts w:ascii="Arial" w:hAnsi="Arial" w:cs="Arial"/>
                <w:sz w:val="18"/>
                <w:szCs w:val="22"/>
              </w:rPr>
              <w:t>2001 - 9.6.2</w:t>
            </w:r>
          </w:p>
        </w:tc>
        <w:tc>
          <w:tcPr>
            <w:tcW w:w="7202" w:type="dxa"/>
            <w:shd w:val="clear" w:color="auto" w:fill="auto"/>
            <w:tcMar>
              <w:top w:w="15" w:type="dxa"/>
              <w:left w:w="15" w:type="dxa"/>
              <w:bottom w:w="0" w:type="dxa"/>
              <w:right w:w="15" w:type="dxa"/>
            </w:tcMar>
          </w:tcPr>
          <w:p w14:paraId="21C3FDE6"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In a production-sharing contract between a contractor and a host government, the contractor typically bears all risk and costs for exploration, development, and production. In return, if exploration is successful, the contractor is given the opportunity to recover the incurred investment from production, subject to specific limits and terms. Ownership is retained by the host government; however, the contractor normally receives title to the prescribed share of the volumes as they are produced.</w:t>
            </w:r>
          </w:p>
        </w:tc>
      </w:tr>
      <w:tr w:rsidR="00BF46B4" w:rsidRPr="00D30BC1" w14:paraId="457FCE4D" w14:textId="77777777" w:rsidTr="00D30BC1">
        <w:trPr>
          <w:trHeight w:val="447"/>
        </w:trPr>
        <w:tc>
          <w:tcPr>
            <w:tcW w:w="1458" w:type="dxa"/>
            <w:shd w:val="clear" w:color="auto" w:fill="auto"/>
            <w:tcMar>
              <w:top w:w="15" w:type="dxa"/>
              <w:left w:w="15" w:type="dxa"/>
              <w:bottom w:w="0" w:type="dxa"/>
              <w:right w:w="15" w:type="dxa"/>
            </w:tcMar>
          </w:tcPr>
          <w:p w14:paraId="7622E736" w14:textId="77777777" w:rsidR="00BF46B4" w:rsidRPr="00D30BC1" w:rsidRDefault="00BF46B4" w:rsidP="00D30BC1">
            <w:pPr>
              <w:pStyle w:val="CommentText"/>
              <w:rPr>
                <w:rFonts w:ascii="Arial" w:eastAsia="Arial Unicode MS" w:hAnsi="Arial" w:cs="Arial"/>
                <w:szCs w:val="22"/>
              </w:rPr>
            </w:pPr>
            <w:r w:rsidRPr="00D30BC1">
              <w:rPr>
                <w:rFonts w:ascii="Arial" w:hAnsi="Arial" w:cs="Arial"/>
                <w:szCs w:val="22"/>
              </w:rPr>
              <w:t>Profit Split</w:t>
            </w:r>
          </w:p>
        </w:tc>
        <w:tc>
          <w:tcPr>
            <w:tcW w:w="1062" w:type="dxa"/>
            <w:shd w:val="clear" w:color="auto" w:fill="auto"/>
          </w:tcPr>
          <w:p w14:paraId="340CE6F2" w14:textId="77777777" w:rsidR="00BF46B4" w:rsidRPr="00D30BC1" w:rsidRDefault="00BF46B4" w:rsidP="00D30BC1">
            <w:pPr>
              <w:rPr>
                <w:rFonts w:ascii="Arial" w:hAnsi="Arial" w:cs="Arial"/>
                <w:sz w:val="18"/>
                <w:szCs w:val="22"/>
              </w:rPr>
            </w:pPr>
            <w:r w:rsidRPr="00D30BC1">
              <w:rPr>
                <w:rFonts w:ascii="Arial" w:hAnsi="Arial" w:cs="Arial"/>
                <w:sz w:val="18"/>
                <w:szCs w:val="22"/>
              </w:rPr>
              <w:t>2001 - 9.6.2</w:t>
            </w:r>
          </w:p>
        </w:tc>
        <w:tc>
          <w:tcPr>
            <w:tcW w:w="7202" w:type="dxa"/>
            <w:shd w:val="clear" w:color="auto" w:fill="auto"/>
            <w:tcMar>
              <w:top w:w="15" w:type="dxa"/>
              <w:left w:w="15" w:type="dxa"/>
              <w:bottom w:w="0" w:type="dxa"/>
              <w:right w:w="15" w:type="dxa"/>
            </w:tcMar>
          </w:tcPr>
          <w:p w14:paraId="6E04B424"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Under a typical production-sharing agreement, the contractor is responsible for the field development and all exploration and development expenses. In return, the contractor is entitled to a share of the remaining profit oil or gas. The contractor receives payment in oil or gas production and is exposed to both technical and market risks.</w:t>
            </w:r>
          </w:p>
        </w:tc>
      </w:tr>
      <w:tr w:rsidR="00BF46B4" w:rsidRPr="00D30BC1" w14:paraId="236F5E22" w14:textId="77777777" w:rsidTr="00D30BC1">
        <w:trPr>
          <w:trHeight w:val="671"/>
        </w:trPr>
        <w:tc>
          <w:tcPr>
            <w:tcW w:w="1458" w:type="dxa"/>
            <w:shd w:val="clear" w:color="auto" w:fill="auto"/>
            <w:tcMar>
              <w:top w:w="15" w:type="dxa"/>
              <w:left w:w="15" w:type="dxa"/>
              <w:bottom w:w="0" w:type="dxa"/>
              <w:right w:w="15" w:type="dxa"/>
            </w:tcMar>
          </w:tcPr>
          <w:p w14:paraId="531A3850"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Project</w:t>
            </w:r>
          </w:p>
        </w:tc>
        <w:tc>
          <w:tcPr>
            <w:tcW w:w="1062" w:type="dxa"/>
            <w:shd w:val="clear" w:color="auto" w:fill="auto"/>
          </w:tcPr>
          <w:p w14:paraId="2FEF34D2" w14:textId="77777777" w:rsidR="00BF46B4" w:rsidRPr="00D30BC1" w:rsidRDefault="00BF46B4" w:rsidP="00D30BC1">
            <w:pPr>
              <w:rPr>
                <w:rFonts w:ascii="Arial" w:hAnsi="Arial" w:cs="Arial"/>
                <w:sz w:val="18"/>
                <w:szCs w:val="22"/>
              </w:rPr>
            </w:pPr>
            <w:r w:rsidRPr="00D30BC1">
              <w:rPr>
                <w:rFonts w:ascii="Arial" w:hAnsi="Arial" w:cs="Arial"/>
                <w:sz w:val="18"/>
                <w:szCs w:val="22"/>
              </w:rPr>
              <w:t>2007 - 1.2</w:t>
            </w:r>
          </w:p>
          <w:p w14:paraId="06CA3B60" w14:textId="77777777" w:rsidR="00BF46B4" w:rsidRPr="00D30BC1" w:rsidRDefault="00BF46B4" w:rsidP="00D30BC1">
            <w:pPr>
              <w:rPr>
                <w:rFonts w:ascii="Arial" w:hAnsi="Arial" w:cs="Arial"/>
                <w:sz w:val="18"/>
                <w:szCs w:val="22"/>
              </w:rPr>
            </w:pPr>
            <w:r w:rsidRPr="00D30BC1">
              <w:rPr>
                <w:rFonts w:ascii="Arial" w:hAnsi="Arial" w:cs="Arial"/>
                <w:sz w:val="18"/>
                <w:szCs w:val="22"/>
              </w:rPr>
              <w:t>2001 - 2.3</w:t>
            </w:r>
          </w:p>
        </w:tc>
        <w:tc>
          <w:tcPr>
            <w:tcW w:w="7202" w:type="dxa"/>
            <w:shd w:val="clear" w:color="auto" w:fill="auto"/>
            <w:tcMar>
              <w:top w:w="15" w:type="dxa"/>
              <w:left w:w="15" w:type="dxa"/>
              <w:bottom w:w="0" w:type="dxa"/>
              <w:right w:w="15" w:type="dxa"/>
            </w:tcMar>
          </w:tcPr>
          <w:p w14:paraId="1754989C"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Represents the link between the petroleum accumulation and the decision-making process, including budget allocation.  A project may, for example, constitute the development of a single reservoir or field, or an incremental development in a producing field, or the integrated development of a group of several fields and associated facilities </w:t>
            </w:r>
            <w:r w:rsidRPr="00D30BC1">
              <w:rPr>
                <w:rFonts w:ascii="Arial" w:hAnsi="Arial" w:cs="Arial"/>
                <w:sz w:val="20"/>
                <w:szCs w:val="20"/>
              </w:rPr>
              <w:t>with a common ownership</w:t>
            </w:r>
            <w:r w:rsidRPr="00D30BC1">
              <w:rPr>
                <w:rFonts w:ascii="Arial" w:hAnsi="Arial" w:cs="Arial"/>
                <w:sz w:val="20"/>
                <w:szCs w:val="22"/>
              </w:rPr>
              <w:t>. In general, an individual project will represent a specific maturity level at which a decision is made on whether or not to proceed (i.e., spend money), and there should be an associated range of estimated recoverable resources for that project. (</w:t>
            </w:r>
            <w:r w:rsidR="00A745CB" w:rsidRPr="00D30BC1">
              <w:rPr>
                <w:rFonts w:ascii="Arial" w:hAnsi="Arial" w:cs="Arial"/>
                <w:sz w:val="20"/>
                <w:szCs w:val="22"/>
              </w:rPr>
              <w:t>S</w:t>
            </w:r>
            <w:r w:rsidRPr="00D30BC1">
              <w:rPr>
                <w:rFonts w:ascii="Arial" w:hAnsi="Arial" w:cs="Arial"/>
                <w:sz w:val="20"/>
                <w:szCs w:val="22"/>
              </w:rPr>
              <w:t>ee also Development Plan</w:t>
            </w:r>
            <w:r w:rsidR="00A745CB" w:rsidRPr="00D30BC1">
              <w:rPr>
                <w:rFonts w:ascii="Arial" w:hAnsi="Arial" w:cs="Arial"/>
                <w:sz w:val="20"/>
                <w:szCs w:val="22"/>
              </w:rPr>
              <w:t>.</w:t>
            </w:r>
            <w:r w:rsidRPr="00D30BC1">
              <w:rPr>
                <w:rFonts w:ascii="Arial" w:hAnsi="Arial" w:cs="Arial"/>
                <w:sz w:val="20"/>
                <w:szCs w:val="22"/>
              </w:rPr>
              <w:t>)</w:t>
            </w:r>
          </w:p>
        </w:tc>
      </w:tr>
      <w:tr w:rsidR="00BF46B4" w:rsidRPr="00D30BC1" w14:paraId="32768E07" w14:textId="77777777" w:rsidTr="00D30BC1">
        <w:trPr>
          <w:trHeight w:val="895"/>
        </w:trPr>
        <w:tc>
          <w:tcPr>
            <w:tcW w:w="1458" w:type="dxa"/>
            <w:shd w:val="clear" w:color="auto" w:fill="auto"/>
            <w:tcMar>
              <w:top w:w="15" w:type="dxa"/>
              <w:left w:w="15" w:type="dxa"/>
              <w:bottom w:w="0" w:type="dxa"/>
              <w:right w:w="15" w:type="dxa"/>
            </w:tcMar>
          </w:tcPr>
          <w:p w14:paraId="027B0071" w14:textId="77777777" w:rsidR="00BF46B4" w:rsidRPr="00D30BC1" w:rsidRDefault="00BF46B4" w:rsidP="00D30BC1">
            <w:pPr>
              <w:rPr>
                <w:rFonts w:ascii="Arial" w:hAnsi="Arial" w:cs="Arial"/>
                <w:sz w:val="20"/>
                <w:szCs w:val="22"/>
              </w:rPr>
            </w:pPr>
            <w:r w:rsidRPr="00D30BC1">
              <w:rPr>
                <w:rFonts w:ascii="Arial" w:hAnsi="Arial" w:cs="Arial"/>
                <w:sz w:val="20"/>
                <w:szCs w:val="22"/>
              </w:rPr>
              <w:t>Property</w:t>
            </w:r>
          </w:p>
        </w:tc>
        <w:tc>
          <w:tcPr>
            <w:tcW w:w="1062" w:type="dxa"/>
            <w:shd w:val="clear" w:color="auto" w:fill="auto"/>
          </w:tcPr>
          <w:p w14:paraId="43CCAA78" w14:textId="77777777" w:rsidR="00BF46B4" w:rsidRPr="00D30BC1" w:rsidRDefault="00BF46B4" w:rsidP="00D30BC1">
            <w:pPr>
              <w:rPr>
                <w:rFonts w:ascii="Arial" w:hAnsi="Arial" w:cs="Arial"/>
                <w:sz w:val="18"/>
                <w:szCs w:val="22"/>
              </w:rPr>
            </w:pPr>
            <w:r w:rsidRPr="00D30BC1">
              <w:rPr>
                <w:rFonts w:ascii="Arial" w:hAnsi="Arial" w:cs="Arial"/>
                <w:sz w:val="18"/>
                <w:szCs w:val="22"/>
              </w:rPr>
              <w:t>2007 - 1.2</w:t>
            </w:r>
          </w:p>
          <w:p w14:paraId="1DB49903" w14:textId="77777777" w:rsidR="00BF46B4" w:rsidRPr="00D30BC1" w:rsidRDefault="00BF46B4" w:rsidP="00D30BC1">
            <w:pPr>
              <w:rPr>
                <w:rFonts w:ascii="Arial" w:hAnsi="Arial" w:cs="Arial"/>
                <w:sz w:val="18"/>
                <w:szCs w:val="22"/>
              </w:rPr>
            </w:pPr>
            <w:r w:rsidRPr="00D30BC1">
              <w:rPr>
                <w:rFonts w:ascii="Arial" w:hAnsi="Arial" w:cs="Arial"/>
                <w:sz w:val="18"/>
                <w:szCs w:val="22"/>
              </w:rPr>
              <w:t>2001 - 9.4</w:t>
            </w:r>
          </w:p>
        </w:tc>
        <w:tc>
          <w:tcPr>
            <w:tcW w:w="7202" w:type="dxa"/>
            <w:shd w:val="clear" w:color="auto" w:fill="auto"/>
            <w:tcMar>
              <w:top w:w="15" w:type="dxa"/>
              <w:left w:w="15" w:type="dxa"/>
              <w:bottom w:w="0" w:type="dxa"/>
              <w:right w:w="15" w:type="dxa"/>
            </w:tcMar>
          </w:tcPr>
          <w:p w14:paraId="345EC349" w14:textId="77777777" w:rsidR="00BF46B4" w:rsidRPr="00D30BC1" w:rsidRDefault="00BF46B4" w:rsidP="00D30BC1">
            <w:pPr>
              <w:spacing w:after="120"/>
              <w:rPr>
                <w:rFonts w:ascii="Arial" w:hAnsi="Arial" w:cs="Arial"/>
                <w:sz w:val="20"/>
                <w:szCs w:val="20"/>
              </w:rPr>
            </w:pPr>
            <w:r w:rsidRPr="00D30BC1">
              <w:rPr>
                <w:rFonts w:ascii="Arial" w:hAnsi="Arial" w:cs="Arial"/>
                <w:sz w:val="20"/>
                <w:szCs w:val="20"/>
              </w:rPr>
              <w:t xml:space="preserve">A volume of the </w:t>
            </w:r>
            <w:r w:rsidR="00A745CB" w:rsidRPr="00D30BC1">
              <w:rPr>
                <w:rFonts w:ascii="Arial" w:hAnsi="Arial" w:cs="Arial"/>
                <w:sz w:val="20"/>
                <w:szCs w:val="20"/>
              </w:rPr>
              <w:t>E</w:t>
            </w:r>
            <w:r w:rsidRPr="00D30BC1">
              <w:rPr>
                <w:rFonts w:ascii="Arial" w:hAnsi="Arial" w:cs="Arial"/>
                <w:sz w:val="20"/>
                <w:szCs w:val="20"/>
              </w:rPr>
              <w:t>arth</w:t>
            </w:r>
            <w:r w:rsidR="00C30824" w:rsidRPr="00D30BC1">
              <w:rPr>
                <w:rFonts w:ascii="Arial" w:hAnsi="Arial" w:cs="Arial"/>
                <w:sz w:val="20"/>
                <w:szCs w:val="20"/>
              </w:rPr>
              <w:t>’</w:t>
            </w:r>
            <w:r w:rsidRPr="00D30BC1">
              <w:rPr>
                <w:rFonts w:ascii="Arial" w:hAnsi="Arial" w:cs="Arial"/>
                <w:sz w:val="20"/>
                <w:szCs w:val="20"/>
              </w:rPr>
              <w:t>s crust wherein a corporate entity or individual has contractual rights to extract, process, and market a defined portion of specified in-place minerals (including petroleum). Defined in general as an area but may have depth and/or stratigraphic constraints.  May also be termed a lease, concession, or license.</w:t>
            </w:r>
          </w:p>
        </w:tc>
      </w:tr>
      <w:tr w:rsidR="00BF46B4" w:rsidRPr="00D30BC1" w14:paraId="5981019B" w14:textId="77777777" w:rsidTr="00D30BC1">
        <w:trPr>
          <w:trHeight w:val="601"/>
        </w:trPr>
        <w:tc>
          <w:tcPr>
            <w:tcW w:w="1458" w:type="dxa"/>
            <w:shd w:val="clear" w:color="auto" w:fill="auto"/>
            <w:tcMar>
              <w:top w:w="15" w:type="dxa"/>
              <w:left w:w="15" w:type="dxa"/>
              <w:bottom w:w="0" w:type="dxa"/>
              <w:right w:w="15" w:type="dxa"/>
            </w:tcMar>
          </w:tcPr>
          <w:p w14:paraId="09337977"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Prorationing</w:t>
            </w:r>
          </w:p>
        </w:tc>
        <w:tc>
          <w:tcPr>
            <w:tcW w:w="1062" w:type="dxa"/>
            <w:shd w:val="clear" w:color="auto" w:fill="auto"/>
          </w:tcPr>
          <w:p w14:paraId="16C77252"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7C796E14"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The allocation of production among reservoirs and wells or allocation of pipeline capacity among shippers, etc. </w:t>
            </w:r>
          </w:p>
        </w:tc>
      </w:tr>
      <w:tr w:rsidR="00BF46B4" w:rsidRPr="00D30BC1" w14:paraId="757497A5" w14:textId="77777777" w:rsidTr="00D30BC1">
        <w:trPr>
          <w:trHeight w:val="789"/>
        </w:trPr>
        <w:tc>
          <w:tcPr>
            <w:tcW w:w="1458" w:type="dxa"/>
            <w:shd w:val="clear" w:color="auto" w:fill="auto"/>
            <w:tcMar>
              <w:top w:w="15" w:type="dxa"/>
              <w:left w:w="15" w:type="dxa"/>
              <w:bottom w:w="0" w:type="dxa"/>
              <w:right w:w="15" w:type="dxa"/>
            </w:tcMar>
          </w:tcPr>
          <w:p w14:paraId="45277964"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Prospect</w:t>
            </w:r>
          </w:p>
        </w:tc>
        <w:tc>
          <w:tcPr>
            <w:tcW w:w="1062" w:type="dxa"/>
            <w:shd w:val="clear" w:color="auto" w:fill="auto"/>
          </w:tcPr>
          <w:p w14:paraId="1668C241"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2007 - 2.1.3.1 and Table </w:t>
            </w:r>
            <w:r w:rsidR="00DA5AFA" w:rsidRPr="00D30BC1">
              <w:rPr>
                <w:rFonts w:ascii="Arial" w:hAnsi="Arial" w:cs="Arial"/>
                <w:sz w:val="18"/>
                <w:szCs w:val="22"/>
              </w:rPr>
              <w:t>1</w:t>
            </w:r>
          </w:p>
        </w:tc>
        <w:tc>
          <w:tcPr>
            <w:tcW w:w="7202" w:type="dxa"/>
            <w:shd w:val="clear" w:color="auto" w:fill="auto"/>
            <w:tcMar>
              <w:top w:w="15" w:type="dxa"/>
              <w:left w:w="15" w:type="dxa"/>
              <w:bottom w:w="0" w:type="dxa"/>
              <w:right w:w="15" w:type="dxa"/>
            </w:tcMar>
          </w:tcPr>
          <w:p w14:paraId="4BF0F1AF" w14:textId="77777777" w:rsidR="00BF46B4" w:rsidRPr="00D30BC1" w:rsidRDefault="00BF46B4" w:rsidP="00D30BC1">
            <w:pPr>
              <w:pStyle w:val="CommentText"/>
              <w:spacing w:after="120"/>
              <w:rPr>
                <w:rFonts w:ascii="Arial" w:eastAsia="Arial Unicode MS" w:hAnsi="Arial" w:cs="Arial"/>
                <w:szCs w:val="18"/>
              </w:rPr>
            </w:pPr>
            <w:r w:rsidRPr="00D30BC1">
              <w:rPr>
                <w:rFonts w:ascii="Arial" w:hAnsi="Arial" w:cs="Arial"/>
                <w:szCs w:val="18"/>
              </w:rPr>
              <w:t xml:space="preserve">A project associated with a potential accumulation that is sufficiently well defined to represent a viable drilling target. </w:t>
            </w:r>
            <w:r w:rsidRPr="00D30BC1">
              <w:rPr>
                <w:rFonts w:ascii="Arial" w:hAnsi="Arial" w:cs="Arial"/>
                <w:szCs w:val="22"/>
              </w:rPr>
              <w:t>A project maturity sub-class that reflects the actions required to move a project toward commercial production.</w:t>
            </w:r>
          </w:p>
        </w:tc>
      </w:tr>
    </w:tbl>
    <w:p w14:paraId="14EA8350" w14:textId="77777777" w:rsidR="00B5367C" w:rsidRPr="00D30BC1" w:rsidRDefault="00B5367C" w:rsidP="00D30BC1">
      <w:r w:rsidRPr="00D30BC1">
        <w:br w:type="page"/>
      </w:r>
    </w:p>
    <w:tbl>
      <w:tblPr>
        <w:tblW w:w="972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8"/>
        <w:gridCol w:w="1062"/>
        <w:gridCol w:w="7202"/>
      </w:tblGrid>
      <w:tr w:rsidR="00BF46B4" w:rsidRPr="00D30BC1" w14:paraId="1EBE0B5D" w14:textId="77777777">
        <w:trPr>
          <w:trHeight w:val="447"/>
        </w:trPr>
        <w:tc>
          <w:tcPr>
            <w:tcW w:w="1458" w:type="dxa"/>
            <w:tcMar>
              <w:top w:w="15" w:type="dxa"/>
              <w:left w:w="15" w:type="dxa"/>
              <w:bottom w:w="0" w:type="dxa"/>
              <w:right w:w="15" w:type="dxa"/>
            </w:tcMar>
          </w:tcPr>
          <w:p w14:paraId="03BC5CF9"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Prospective Resources</w:t>
            </w:r>
          </w:p>
        </w:tc>
        <w:tc>
          <w:tcPr>
            <w:tcW w:w="1062" w:type="dxa"/>
          </w:tcPr>
          <w:p w14:paraId="6C4765D1" w14:textId="77777777" w:rsidR="00BF46B4" w:rsidRPr="00D30BC1" w:rsidRDefault="00BF46B4" w:rsidP="00D30BC1">
            <w:pPr>
              <w:rPr>
                <w:rFonts w:ascii="Arial" w:hAnsi="Arial" w:cs="Arial"/>
                <w:sz w:val="18"/>
                <w:szCs w:val="22"/>
              </w:rPr>
            </w:pPr>
            <w:r w:rsidRPr="00D30BC1">
              <w:rPr>
                <w:rFonts w:ascii="Arial" w:hAnsi="Arial" w:cs="Arial"/>
                <w:sz w:val="18"/>
                <w:szCs w:val="22"/>
              </w:rPr>
              <w:t>2007 - 1.1 and Table</w:t>
            </w:r>
            <w:r w:rsidR="00DA5AFA" w:rsidRPr="00D30BC1">
              <w:rPr>
                <w:rFonts w:ascii="Arial" w:hAnsi="Arial" w:cs="Arial"/>
                <w:sz w:val="18"/>
                <w:szCs w:val="22"/>
              </w:rPr>
              <w:t xml:space="preserve"> 1</w:t>
            </w:r>
          </w:p>
        </w:tc>
        <w:tc>
          <w:tcPr>
            <w:tcW w:w="7202" w:type="dxa"/>
            <w:tcMar>
              <w:top w:w="15" w:type="dxa"/>
              <w:left w:w="15" w:type="dxa"/>
              <w:bottom w:w="0" w:type="dxa"/>
              <w:right w:w="15" w:type="dxa"/>
            </w:tcMar>
          </w:tcPr>
          <w:p w14:paraId="0A19E6F5"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18"/>
              </w:rPr>
              <w:t>Those quantities of petroleum which are estimated, as of a given date, to be potentially recoverable from undiscovered accumulations</w:t>
            </w:r>
            <w:r w:rsidRPr="00D30BC1">
              <w:rPr>
                <w:szCs w:val="18"/>
              </w:rPr>
              <w:t>.</w:t>
            </w:r>
          </w:p>
        </w:tc>
      </w:tr>
      <w:tr w:rsidR="00BF46B4" w:rsidRPr="00D30BC1" w14:paraId="039C88FA" w14:textId="77777777">
        <w:trPr>
          <w:trHeight w:val="447"/>
        </w:trPr>
        <w:tc>
          <w:tcPr>
            <w:tcW w:w="1458" w:type="dxa"/>
            <w:tcMar>
              <w:top w:w="15" w:type="dxa"/>
              <w:left w:w="15" w:type="dxa"/>
              <w:bottom w:w="0" w:type="dxa"/>
              <w:right w:w="15" w:type="dxa"/>
            </w:tcMar>
          </w:tcPr>
          <w:p w14:paraId="7BC6B7C3" w14:textId="77777777" w:rsidR="00BF46B4" w:rsidRPr="00D30BC1" w:rsidRDefault="00BF46B4" w:rsidP="00D30BC1">
            <w:pPr>
              <w:rPr>
                <w:rFonts w:ascii="Arial" w:hAnsi="Arial" w:cs="Arial"/>
                <w:sz w:val="20"/>
                <w:szCs w:val="22"/>
              </w:rPr>
            </w:pPr>
            <w:r w:rsidRPr="00D30BC1">
              <w:rPr>
                <w:rFonts w:ascii="Arial" w:hAnsi="Arial" w:cs="Arial"/>
                <w:sz w:val="20"/>
                <w:szCs w:val="22"/>
              </w:rPr>
              <w:t>Proved Economic</w:t>
            </w:r>
          </w:p>
        </w:tc>
        <w:tc>
          <w:tcPr>
            <w:tcW w:w="1062" w:type="dxa"/>
          </w:tcPr>
          <w:p w14:paraId="1184B0E6" w14:textId="77777777" w:rsidR="00BF46B4" w:rsidRPr="00D30BC1" w:rsidRDefault="00BF46B4" w:rsidP="00D30BC1">
            <w:pPr>
              <w:rPr>
                <w:rFonts w:ascii="Arial" w:hAnsi="Arial" w:cs="Arial"/>
                <w:sz w:val="18"/>
                <w:szCs w:val="22"/>
              </w:rPr>
            </w:pPr>
            <w:r w:rsidRPr="00D30BC1">
              <w:rPr>
                <w:rFonts w:ascii="Arial" w:hAnsi="Arial" w:cs="Arial"/>
                <w:sz w:val="18"/>
                <w:szCs w:val="22"/>
              </w:rPr>
              <w:t>2007 - 3.1.1</w:t>
            </w:r>
          </w:p>
        </w:tc>
        <w:tc>
          <w:tcPr>
            <w:tcW w:w="7202" w:type="dxa"/>
            <w:tcMar>
              <w:top w:w="15" w:type="dxa"/>
              <w:left w:w="15" w:type="dxa"/>
              <w:bottom w:w="0" w:type="dxa"/>
              <w:right w:w="15" w:type="dxa"/>
            </w:tcMar>
          </w:tcPr>
          <w:p w14:paraId="2A83212D"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In many cases, ex</w:t>
            </w:r>
            <w:r w:rsidR="00DA5AFA" w:rsidRPr="00D30BC1">
              <w:rPr>
                <w:rFonts w:ascii="Arial" w:hAnsi="Arial" w:cs="Arial"/>
                <w:sz w:val="20"/>
                <w:szCs w:val="22"/>
              </w:rPr>
              <w:t>ternal regulatory reporting and</w:t>
            </w:r>
            <w:r w:rsidRPr="00D30BC1">
              <w:rPr>
                <w:rFonts w:ascii="Arial" w:hAnsi="Arial" w:cs="Arial"/>
                <w:sz w:val="20"/>
                <w:szCs w:val="22"/>
              </w:rPr>
              <w:t xml:space="preserve">/or financing requires that, even if only the Proved Reserves estimate for the project is actually recovered, the project will still meet minimum economic criteria; the project is then termed as </w:t>
            </w:r>
            <w:r w:rsidR="00C30824" w:rsidRPr="00D30BC1">
              <w:rPr>
                <w:rFonts w:cs="Arial"/>
                <w:sz w:val="18"/>
                <w:szCs w:val="22"/>
              </w:rPr>
              <w:t>“</w:t>
            </w:r>
            <w:r w:rsidRPr="00D30BC1">
              <w:rPr>
                <w:rFonts w:ascii="Arial" w:hAnsi="Arial" w:cs="Arial"/>
                <w:sz w:val="20"/>
                <w:szCs w:val="22"/>
              </w:rPr>
              <w:t>Proved Economic</w:t>
            </w:r>
            <w:r w:rsidR="00DA5AFA" w:rsidRPr="00D30BC1">
              <w:rPr>
                <w:rFonts w:ascii="Arial" w:hAnsi="Arial" w:cs="Arial"/>
                <w:sz w:val="20"/>
                <w:szCs w:val="22"/>
              </w:rPr>
              <w:t>.</w:t>
            </w:r>
            <w:r w:rsidR="00C30824" w:rsidRPr="00D30BC1">
              <w:rPr>
                <w:rFonts w:cs="Arial"/>
                <w:sz w:val="18"/>
                <w:szCs w:val="22"/>
              </w:rPr>
              <w:t>”</w:t>
            </w:r>
            <w:r w:rsidRPr="00D30BC1">
              <w:rPr>
                <w:rFonts w:ascii="Arial" w:hAnsi="Arial" w:cs="Arial"/>
                <w:sz w:val="20"/>
                <w:szCs w:val="22"/>
              </w:rPr>
              <w:t xml:space="preserve"> </w:t>
            </w:r>
          </w:p>
        </w:tc>
      </w:tr>
      <w:tr w:rsidR="00BF46B4" w:rsidRPr="00D30BC1" w14:paraId="18C749BE" w14:textId="77777777">
        <w:trPr>
          <w:trHeight w:val="447"/>
        </w:trPr>
        <w:tc>
          <w:tcPr>
            <w:tcW w:w="1458" w:type="dxa"/>
            <w:tcMar>
              <w:top w:w="15" w:type="dxa"/>
              <w:left w:w="15" w:type="dxa"/>
              <w:bottom w:w="0" w:type="dxa"/>
              <w:right w:w="15" w:type="dxa"/>
            </w:tcMar>
          </w:tcPr>
          <w:p w14:paraId="273F9931"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Proved Reserves</w:t>
            </w:r>
          </w:p>
        </w:tc>
        <w:tc>
          <w:tcPr>
            <w:tcW w:w="1062" w:type="dxa"/>
          </w:tcPr>
          <w:p w14:paraId="4DE4B362"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2007 - 2.2.2 and Table </w:t>
            </w:r>
            <w:r w:rsidR="00DA5AFA" w:rsidRPr="00D30BC1">
              <w:rPr>
                <w:rFonts w:ascii="Arial" w:hAnsi="Arial" w:cs="Arial"/>
                <w:sz w:val="18"/>
                <w:szCs w:val="22"/>
              </w:rPr>
              <w:t>3</w:t>
            </w:r>
          </w:p>
        </w:tc>
        <w:tc>
          <w:tcPr>
            <w:tcW w:w="7202" w:type="dxa"/>
            <w:tcMar>
              <w:top w:w="15" w:type="dxa"/>
              <w:left w:w="15" w:type="dxa"/>
              <w:bottom w:w="0" w:type="dxa"/>
              <w:right w:w="15" w:type="dxa"/>
            </w:tcMar>
          </w:tcPr>
          <w:p w14:paraId="59C2947C" w14:textId="77777777" w:rsidR="00BF46B4" w:rsidRPr="00D30BC1" w:rsidRDefault="00BF46B4" w:rsidP="00D30BC1">
            <w:pPr>
              <w:pStyle w:val="CommentText"/>
              <w:spacing w:after="120"/>
              <w:rPr>
                <w:rFonts w:ascii="Arial" w:eastAsia="Arial Unicode MS" w:hAnsi="Arial" w:cs="Arial"/>
                <w:szCs w:val="22"/>
              </w:rPr>
            </w:pPr>
            <w:r w:rsidRPr="00D30BC1">
              <w:rPr>
                <w:rFonts w:ascii="Arial" w:hAnsi="Arial" w:cs="Arial"/>
                <w:szCs w:val="22"/>
              </w:rPr>
              <w:t>An incremental category of estimated recoverable volumes associated with a defined degree of uncertainty</w:t>
            </w:r>
            <w:r w:rsidRPr="00D30BC1">
              <w:rPr>
                <w:rFonts w:ascii="Arial" w:hAnsi="Arial" w:cs="Arial"/>
              </w:rPr>
              <w:t xml:space="preserve"> Proved Reserves are</w:t>
            </w:r>
            <w:r w:rsidR="00DA5AFA" w:rsidRPr="00D30BC1">
              <w:rPr>
                <w:rFonts w:ascii="Arial" w:hAnsi="Arial" w:cs="Arial"/>
              </w:rPr>
              <w:t xml:space="preserve"> those quantities of petroleum </w:t>
            </w:r>
            <w:r w:rsidRPr="00D30BC1">
              <w:rPr>
                <w:rFonts w:ascii="Arial" w:hAnsi="Arial" w:cs="Arial"/>
              </w:rPr>
              <w:t>which</w:t>
            </w:r>
            <w:r w:rsidR="00DA5AFA" w:rsidRPr="00D30BC1">
              <w:rPr>
                <w:rFonts w:ascii="Arial" w:hAnsi="Arial" w:cs="Arial"/>
              </w:rPr>
              <w:t>,</w:t>
            </w:r>
            <w:r w:rsidRPr="00D30BC1">
              <w:rPr>
                <w:rFonts w:ascii="Arial" w:hAnsi="Arial" w:cs="Arial"/>
              </w:rPr>
              <w:t xml:space="preserve"> by analysis of geoscience and engineering data, can be estimated with reasonable certainty to be commercially recoverable, from a given date forward, from known reservoirs and under defined economic conditions, operating methods, and government regulations. If deterministic methods are used, the term reasonable certainty is intended to express a high degree of confidence that the quantities will be recovered.  If probabilistic methods are used, there should be at least a 90% probability that the quantities actually recovered will equal or exceed the estimate.</w:t>
            </w:r>
            <w:r w:rsidRPr="00D30BC1">
              <w:rPr>
                <w:rFonts w:ascii="Arial" w:hAnsi="Arial" w:cs="Arial"/>
                <w:szCs w:val="22"/>
              </w:rPr>
              <w:t xml:space="preserve"> Often referred to as 1P, also as </w:t>
            </w:r>
            <w:r w:rsidR="00C30824" w:rsidRPr="00D30BC1">
              <w:rPr>
                <w:rFonts w:cs="Arial"/>
                <w:sz w:val="18"/>
                <w:szCs w:val="22"/>
              </w:rPr>
              <w:t>“</w:t>
            </w:r>
            <w:r w:rsidRPr="00D30BC1">
              <w:rPr>
                <w:rFonts w:ascii="Arial" w:hAnsi="Arial" w:cs="Arial"/>
                <w:szCs w:val="22"/>
              </w:rPr>
              <w:t>Proven</w:t>
            </w:r>
            <w:r w:rsidR="00DA5AFA" w:rsidRPr="00D30BC1">
              <w:rPr>
                <w:rFonts w:ascii="Arial" w:hAnsi="Arial" w:cs="Arial"/>
                <w:szCs w:val="22"/>
              </w:rPr>
              <w:t>.</w:t>
            </w:r>
            <w:r w:rsidR="00C30824" w:rsidRPr="00D30BC1">
              <w:rPr>
                <w:rFonts w:cs="Arial"/>
                <w:sz w:val="18"/>
                <w:szCs w:val="22"/>
              </w:rPr>
              <w:t>”</w:t>
            </w:r>
          </w:p>
        </w:tc>
      </w:tr>
      <w:tr w:rsidR="00BF46B4" w:rsidRPr="00D30BC1" w14:paraId="7BEEC690" w14:textId="77777777">
        <w:trPr>
          <w:trHeight w:val="602"/>
        </w:trPr>
        <w:tc>
          <w:tcPr>
            <w:tcW w:w="1458" w:type="dxa"/>
            <w:tcMar>
              <w:top w:w="15" w:type="dxa"/>
              <w:left w:w="15" w:type="dxa"/>
              <w:bottom w:w="0" w:type="dxa"/>
              <w:right w:w="15" w:type="dxa"/>
            </w:tcMar>
          </w:tcPr>
          <w:p w14:paraId="3064B8B2"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Purchase Contracts</w:t>
            </w:r>
          </w:p>
        </w:tc>
        <w:tc>
          <w:tcPr>
            <w:tcW w:w="1062" w:type="dxa"/>
          </w:tcPr>
          <w:p w14:paraId="230E40C2" w14:textId="77777777" w:rsidR="00BF46B4" w:rsidRPr="00D30BC1" w:rsidRDefault="00BF46B4" w:rsidP="00D30BC1">
            <w:pPr>
              <w:rPr>
                <w:rFonts w:ascii="Arial" w:hAnsi="Arial" w:cs="Arial"/>
                <w:sz w:val="18"/>
                <w:szCs w:val="22"/>
              </w:rPr>
            </w:pPr>
            <w:r w:rsidRPr="00D30BC1">
              <w:rPr>
                <w:rFonts w:ascii="Arial" w:hAnsi="Arial" w:cs="Arial"/>
                <w:sz w:val="18"/>
                <w:szCs w:val="22"/>
              </w:rPr>
              <w:t>2001 - 9.6.8</w:t>
            </w:r>
          </w:p>
        </w:tc>
        <w:tc>
          <w:tcPr>
            <w:tcW w:w="7202" w:type="dxa"/>
            <w:tcMar>
              <w:top w:w="15" w:type="dxa"/>
              <w:left w:w="15" w:type="dxa"/>
              <w:bottom w:w="0" w:type="dxa"/>
              <w:right w:w="15" w:type="dxa"/>
            </w:tcMar>
          </w:tcPr>
          <w:p w14:paraId="74D71FE0"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A contract to purchase oil and gas provides the right to purchase a specified volume of production at an agreed price for a defined term. </w:t>
            </w:r>
          </w:p>
        </w:tc>
      </w:tr>
      <w:tr w:rsidR="00BF46B4" w:rsidRPr="00D30BC1" w14:paraId="39207F6A" w14:textId="77777777">
        <w:trPr>
          <w:trHeight w:val="1777"/>
        </w:trPr>
        <w:tc>
          <w:tcPr>
            <w:tcW w:w="1458" w:type="dxa"/>
            <w:tcMar>
              <w:top w:w="15" w:type="dxa"/>
              <w:left w:w="15" w:type="dxa"/>
              <w:bottom w:w="0" w:type="dxa"/>
              <w:right w:w="15" w:type="dxa"/>
            </w:tcMar>
          </w:tcPr>
          <w:p w14:paraId="12447BA0"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Pure-Service Contract</w:t>
            </w:r>
          </w:p>
        </w:tc>
        <w:tc>
          <w:tcPr>
            <w:tcW w:w="1062" w:type="dxa"/>
          </w:tcPr>
          <w:p w14:paraId="68475F99" w14:textId="77777777" w:rsidR="00BF46B4" w:rsidRPr="00D30BC1" w:rsidRDefault="00BF46B4" w:rsidP="00D30BC1">
            <w:pPr>
              <w:rPr>
                <w:rFonts w:ascii="Arial" w:hAnsi="Arial" w:cs="Arial"/>
                <w:sz w:val="18"/>
                <w:szCs w:val="22"/>
              </w:rPr>
            </w:pPr>
            <w:r w:rsidRPr="00D30BC1">
              <w:rPr>
                <w:rFonts w:ascii="Arial" w:hAnsi="Arial" w:cs="Arial"/>
                <w:sz w:val="18"/>
                <w:szCs w:val="22"/>
              </w:rPr>
              <w:t>2001 - 9.7.5</w:t>
            </w:r>
          </w:p>
        </w:tc>
        <w:tc>
          <w:tcPr>
            <w:tcW w:w="7202" w:type="dxa"/>
            <w:tcMar>
              <w:top w:w="15" w:type="dxa"/>
              <w:left w:w="15" w:type="dxa"/>
              <w:bottom w:w="0" w:type="dxa"/>
              <w:right w:w="15" w:type="dxa"/>
            </w:tcMar>
          </w:tcPr>
          <w:p w14:paraId="152B4C72"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A pure-service contract is an agreement between a contractor and a host government that typically covers a defined technical service to be provided or completed during a specific period of time. The service company investment is typically limited to the value of equipment, tools, and expenses for personnel used to perform the service. In most cases, the service contractor</w:t>
            </w:r>
            <w:r w:rsidR="00C30824" w:rsidRPr="00D30BC1">
              <w:rPr>
                <w:rFonts w:cs="Arial"/>
                <w:sz w:val="18"/>
                <w:szCs w:val="22"/>
              </w:rPr>
              <w:t>’</w:t>
            </w:r>
            <w:r w:rsidRPr="00D30BC1">
              <w:rPr>
                <w:rFonts w:ascii="Arial" w:hAnsi="Arial" w:cs="Arial"/>
                <w:sz w:val="20"/>
                <w:szCs w:val="22"/>
              </w:rPr>
              <w:t xml:space="preserve">s reimbursement is fixed by the terms of the contract with little exposure to either project performance or market factors. </w:t>
            </w:r>
          </w:p>
        </w:tc>
      </w:tr>
      <w:tr w:rsidR="00BF46B4" w:rsidRPr="00D30BC1" w14:paraId="1ED150F7" w14:textId="77777777">
        <w:trPr>
          <w:trHeight w:val="541"/>
        </w:trPr>
        <w:tc>
          <w:tcPr>
            <w:tcW w:w="1458" w:type="dxa"/>
            <w:tcMar>
              <w:top w:w="15" w:type="dxa"/>
              <w:left w:w="15" w:type="dxa"/>
              <w:bottom w:w="0" w:type="dxa"/>
              <w:right w:w="15" w:type="dxa"/>
            </w:tcMar>
          </w:tcPr>
          <w:p w14:paraId="2EC4E2B8"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 xml:space="preserve">Range of Uncertainty </w:t>
            </w:r>
          </w:p>
        </w:tc>
        <w:tc>
          <w:tcPr>
            <w:tcW w:w="1062" w:type="dxa"/>
          </w:tcPr>
          <w:p w14:paraId="523A852F"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2007 - 2.2</w:t>
            </w:r>
          </w:p>
          <w:p w14:paraId="2A143BD6"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2001 - 2.5</w:t>
            </w:r>
          </w:p>
        </w:tc>
        <w:tc>
          <w:tcPr>
            <w:tcW w:w="7202" w:type="dxa"/>
            <w:tcMar>
              <w:top w:w="15" w:type="dxa"/>
              <w:left w:w="15" w:type="dxa"/>
              <w:bottom w:w="0" w:type="dxa"/>
              <w:right w:w="15" w:type="dxa"/>
            </w:tcMar>
          </w:tcPr>
          <w:p w14:paraId="65483976"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rPr>
              <w:t xml:space="preserve">The range of uncertainty of the recoverable and/or potentially recoverable volumes may be represented by either deterministic scenarios or by a probability distribution. </w:t>
            </w:r>
            <w:r w:rsidR="00DA5AFA" w:rsidRPr="00D30BC1">
              <w:rPr>
                <w:rFonts w:ascii="Arial" w:hAnsi="Arial" w:cs="Arial"/>
                <w:sz w:val="20"/>
              </w:rPr>
              <w:t>(</w:t>
            </w:r>
            <w:r w:rsidRPr="00D30BC1">
              <w:rPr>
                <w:rFonts w:ascii="Arial" w:eastAsia="Arial Unicode MS" w:hAnsi="Arial" w:cs="Arial"/>
                <w:sz w:val="20"/>
                <w:szCs w:val="22"/>
              </w:rPr>
              <w:t>See Resource Uncertainty Categories.</w:t>
            </w:r>
            <w:r w:rsidR="00DA5AFA" w:rsidRPr="00D30BC1">
              <w:rPr>
                <w:rFonts w:ascii="Arial" w:eastAsia="Arial Unicode MS" w:hAnsi="Arial" w:cs="Arial"/>
                <w:sz w:val="20"/>
                <w:szCs w:val="22"/>
              </w:rPr>
              <w:t>)</w:t>
            </w:r>
          </w:p>
        </w:tc>
      </w:tr>
      <w:tr w:rsidR="00BF46B4" w:rsidRPr="00D30BC1" w14:paraId="2993B84D" w14:textId="77777777">
        <w:trPr>
          <w:trHeight w:val="1739"/>
        </w:trPr>
        <w:tc>
          <w:tcPr>
            <w:tcW w:w="1458" w:type="dxa"/>
            <w:tcMar>
              <w:top w:w="15" w:type="dxa"/>
              <w:left w:w="15" w:type="dxa"/>
              <w:bottom w:w="0" w:type="dxa"/>
              <w:right w:w="15" w:type="dxa"/>
            </w:tcMar>
          </w:tcPr>
          <w:p w14:paraId="5F1BD930"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Raw Natural Gas</w:t>
            </w:r>
          </w:p>
        </w:tc>
        <w:tc>
          <w:tcPr>
            <w:tcW w:w="1062" w:type="dxa"/>
          </w:tcPr>
          <w:p w14:paraId="4A67EEE3" w14:textId="77777777" w:rsidR="00BF46B4" w:rsidRPr="00D30BC1" w:rsidRDefault="00BF46B4" w:rsidP="00D30BC1">
            <w:pPr>
              <w:rPr>
                <w:rFonts w:ascii="Arial" w:hAnsi="Arial" w:cs="Arial"/>
                <w:sz w:val="18"/>
                <w:szCs w:val="22"/>
              </w:rPr>
            </w:pPr>
            <w:r w:rsidRPr="00D30BC1">
              <w:rPr>
                <w:rFonts w:ascii="Arial" w:hAnsi="Arial" w:cs="Arial"/>
                <w:sz w:val="18"/>
                <w:szCs w:val="22"/>
              </w:rPr>
              <w:t>2007 - 3.2.1</w:t>
            </w:r>
          </w:p>
        </w:tc>
        <w:tc>
          <w:tcPr>
            <w:tcW w:w="7202" w:type="dxa"/>
            <w:tcMar>
              <w:top w:w="15" w:type="dxa"/>
              <w:left w:w="15" w:type="dxa"/>
              <w:bottom w:w="0" w:type="dxa"/>
              <w:right w:w="15" w:type="dxa"/>
            </w:tcMar>
          </w:tcPr>
          <w:p w14:paraId="10445C40" w14:textId="77777777" w:rsidR="00BF46B4" w:rsidRPr="00D30BC1" w:rsidRDefault="00BF46B4" w:rsidP="00BF5934">
            <w:pPr>
              <w:spacing w:after="120"/>
              <w:rPr>
                <w:rFonts w:ascii="Arial" w:eastAsia="Arial Unicode MS" w:hAnsi="Arial" w:cs="Arial"/>
                <w:sz w:val="20"/>
                <w:szCs w:val="22"/>
              </w:rPr>
            </w:pPr>
            <w:r w:rsidRPr="00D30BC1">
              <w:rPr>
                <w:rFonts w:ascii="Arial" w:hAnsi="Arial" w:cs="Arial"/>
                <w:sz w:val="20"/>
                <w:szCs w:val="22"/>
              </w:rPr>
              <w:t>Raw Natural Gas is natural gas as it is produced from the reservoir. It includes water vapor and varying amounts of the heavier hydrocarbons that may liquefy in lease facilities or gas plants and may also contain sulfur com</w:t>
            </w:r>
            <w:r w:rsidR="00DA5AFA" w:rsidRPr="00D30BC1">
              <w:rPr>
                <w:rFonts w:ascii="Arial" w:hAnsi="Arial" w:cs="Arial"/>
                <w:sz w:val="20"/>
                <w:szCs w:val="22"/>
              </w:rPr>
              <w:t>pounds such as hydrogen sulfide</w:t>
            </w:r>
            <w:r w:rsidRPr="00D30BC1">
              <w:rPr>
                <w:rFonts w:ascii="Arial" w:hAnsi="Arial" w:cs="Arial"/>
                <w:sz w:val="20"/>
                <w:szCs w:val="22"/>
              </w:rPr>
              <w:t xml:space="preserve"> and other non-hydrocarbon gases such as carbon dioxide, nitrogen, or helium, but which, nevertheless, is exploitable for its hydrocarbon content. Raw Natural Gas is often not suitable for direct u</w:t>
            </w:r>
            <w:r w:rsidR="00BF5934">
              <w:rPr>
                <w:rFonts w:ascii="Arial" w:hAnsi="Arial" w:cs="Arial"/>
                <w:sz w:val="20"/>
                <w:szCs w:val="22"/>
              </w:rPr>
              <w:t>sage</w:t>
            </w:r>
            <w:r w:rsidRPr="00D30BC1">
              <w:rPr>
                <w:rFonts w:ascii="Arial" w:hAnsi="Arial" w:cs="Arial"/>
                <w:sz w:val="20"/>
                <w:szCs w:val="22"/>
              </w:rPr>
              <w:t xml:space="preserve"> by most types of consumers.</w:t>
            </w:r>
          </w:p>
        </w:tc>
      </w:tr>
      <w:tr w:rsidR="00BF46B4" w:rsidRPr="00D30BC1" w14:paraId="2FE2FD4D" w14:textId="77777777">
        <w:trPr>
          <w:trHeight w:val="861"/>
        </w:trPr>
        <w:tc>
          <w:tcPr>
            <w:tcW w:w="1458" w:type="dxa"/>
            <w:tcMar>
              <w:top w:w="15" w:type="dxa"/>
              <w:left w:w="15" w:type="dxa"/>
              <w:bottom w:w="0" w:type="dxa"/>
              <w:right w:w="15" w:type="dxa"/>
            </w:tcMar>
          </w:tcPr>
          <w:p w14:paraId="23122C87"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 xml:space="preserve">Reasonable Certainty </w:t>
            </w:r>
          </w:p>
        </w:tc>
        <w:tc>
          <w:tcPr>
            <w:tcW w:w="1062" w:type="dxa"/>
          </w:tcPr>
          <w:p w14:paraId="0B43069F"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2007 - 2.2.2</w:t>
            </w:r>
          </w:p>
        </w:tc>
        <w:tc>
          <w:tcPr>
            <w:tcW w:w="7202" w:type="dxa"/>
            <w:tcMar>
              <w:top w:w="15" w:type="dxa"/>
              <w:left w:w="15" w:type="dxa"/>
              <w:bottom w:w="0" w:type="dxa"/>
              <w:right w:w="15" w:type="dxa"/>
            </w:tcMar>
          </w:tcPr>
          <w:p w14:paraId="2561B17E"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If deterministic methods for estimating recoverable resource quantities are used, then reasonable certainty is intended to express a high degree of confidence that the estimated quantities will be recovered.</w:t>
            </w:r>
          </w:p>
        </w:tc>
      </w:tr>
      <w:tr w:rsidR="00BF46B4" w:rsidRPr="00D30BC1" w14:paraId="4266793B" w14:textId="77777777">
        <w:trPr>
          <w:trHeight w:val="251"/>
        </w:trPr>
        <w:tc>
          <w:tcPr>
            <w:tcW w:w="1458" w:type="dxa"/>
            <w:tcMar>
              <w:top w:w="15" w:type="dxa"/>
              <w:left w:w="15" w:type="dxa"/>
              <w:bottom w:w="0" w:type="dxa"/>
              <w:right w:w="15" w:type="dxa"/>
            </w:tcMar>
          </w:tcPr>
          <w:p w14:paraId="321C343D" w14:textId="77777777" w:rsidR="00BF46B4" w:rsidRPr="00D30BC1" w:rsidRDefault="00BF46B4" w:rsidP="00D30BC1">
            <w:pPr>
              <w:rPr>
                <w:rFonts w:ascii="Arial" w:hAnsi="Arial" w:cs="Arial"/>
                <w:sz w:val="20"/>
                <w:szCs w:val="22"/>
              </w:rPr>
            </w:pPr>
            <w:r w:rsidRPr="00D30BC1">
              <w:rPr>
                <w:rFonts w:ascii="Arial" w:hAnsi="Arial" w:cs="Arial"/>
                <w:sz w:val="20"/>
                <w:szCs w:val="22"/>
              </w:rPr>
              <w:t>Reasonable Expectation</w:t>
            </w:r>
          </w:p>
        </w:tc>
        <w:tc>
          <w:tcPr>
            <w:tcW w:w="1062" w:type="dxa"/>
          </w:tcPr>
          <w:p w14:paraId="7F0CC3A6"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 xml:space="preserve">2007 </w:t>
            </w:r>
            <w:r w:rsidR="00DA5AFA" w:rsidRPr="00D30BC1">
              <w:rPr>
                <w:rFonts w:ascii="Arial" w:eastAsia="Arial Unicode MS" w:hAnsi="Arial" w:cs="Arial"/>
                <w:sz w:val="18"/>
                <w:szCs w:val="22"/>
              </w:rPr>
              <w:t>-</w:t>
            </w:r>
            <w:r w:rsidRPr="00D30BC1">
              <w:rPr>
                <w:rFonts w:ascii="Arial" w:eastAsia="Arial Unicode MS" w:hAnsi="Arial" w:cs="Arial"/>
                <w:sz w:val="18"/>
                <w:szCs w:val="22"/>
              </w:rPr>
              <w:t xml:space="preserve"> 2.1.2</w:t>
            </w:r>
          </w:p>
        </w:tc>
        <w:tc>
          <w:tcPr>
            <w:tcW w:w="7202" w:type="dxa"/>
            <w:tcMar>
              <w:top w:w="15" w:type="dxa"/>
              <w:left w:w="15" w:type="dxa"/>
              <w:bottom w:w="0" w:type="dxa"/>
              <w:right w:w="15" w:type="dxa"/>
            </w:tcMar>
          </w:tcPr>
          <w:p w14:paraId="27BAC00D"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 xml:space="preserve">Indicates a high degree of confidence (low risk of failure) that the project will proceed with commercial development or the referenced event will occur. </w:t>
            </w:r>
          </w:p>
        </w:tc>
      </w:tr>
      <w:tr w:rsidR="00BF46B4" w:rsidRPr="00D30BC1" w14:paraId="4484D2EE" w14:textId="77777777">
        <w:trPr>
          <w:trHeight w:val="511"/>
        </w:trPr>
        <w:tc>
          <w:tcPr>
            <w:tcW w:w="1458" w:type="dxa"/>
            <w:tcMar>
              <w:top w:w="15" w:type="dxa"/>
              <w:left w:w="15" w:type="dxa"/>
              <w:bottom w:w="0" w:type="dxa"/>
              <w:right w:w="15" w:type="dxa"/>
            </w:tcMar>
          </w:tcPr>
          <w:p w14:paraId="7045A359" w14:textId="77777777" w:rsidR="00BF46B4" w:rsidRPr="00D30BC1" w:rsidRDefault="00BF46B4" w:rsidP="00D30BC1">
            <w:pPr>
              <w:rPr>
                <w:rFonts w:ascii="Arial" w:hAnsi="Arial" w:cs="Arial"/>
                <w:sz w:val="20"/>
                <w:szCs w:val="22"/>
              </w:rPr>
            </w:pPr>
            <w:r w:rsidRPr="00D30BC1">
              <w:rPr>
                <w:rFonts w:ascii="Arial" w:hAnsi="Arial" w:cs="Arial"/>
                <w:sz w:val="20"/>
                <w:szCs w:val="22"/>
              </w:rPr>
              <w:t>Reasonable Forecast</w:t>
            </w:r>
          </w:p>
        </w:tc>
        <w:tc>
          <w:tcPr>
            <w:tcW w:w="1062" w:type="dxa"/>
          </w:tcPr>
          <w:p w14:paraId="3A988225"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 xml:space="preserve">2007 </w:t>
            </w:r>
            <w:r w:rsidR="00104E75" w:rsidRPr="00D30BC1">
              <w:rPr>
                <w:rFonts w:ascii="Arial" w:eastAsia="Arial Unicode MS" w:hAnsi="Arial" w:cs="Arial"/>
                <w:sz w:val="18"/>
                <w:szCs w:val="22"/>
              </w:rPr>
              <w:t>-</w:t>
            </w:r>
            <w:r w:rsidRPr="00D30BC1">
              <w:rPr>
                <w:rFonts w:ascii="Arial" w:eastAsia="Arial Unicode MS" w:hAnsi="Arial" w:cs="Arial"/>
                <w:sz w:val="18"/>
                <w:szCs w:val="22"/>
              </w:rPr>
              <w:t xml:space="preserve"> 3.1.2</w:t>
            </w:r>
          </w:p>
        </w:tc>
        <w:tc>
          <w:tcPr>
            <w:tcW w:w="7202" w:type="dxa"/>
            <w:tcMar>
              <w:top w:w="15" w:type="dxa"/>
              <w:left w:w="15" w:type="dxa"/>
              <w:bottom w:w="0" w:type="dxa"/>
              <w:right w:w="15" w:type="dxa"/>
            </w:tcMar>
          </w:tcPr>
          <w:p w14:paraId="07C5A62D"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Indicates a high degree of confidence in predictions of future events and commercial conditions. The basis of such forecasts includes, but is not limited to, analysis of historical records and published global economic models.</w:t>
            </w:r>
          </w:p>
        </w:tc>
      </w:tr>
      <w:tr w:rsidR="00BF46B4" w:rsidRPr="00D30BC1" w14:paraId="3FF9560E" w14:textId="77777777">
        <w:trPr>
          <w:trHeight w:val="511"/>
        </w:trPr>
        <w:tc>
          <w:tcPr>
            <w:tcW w:w="1458" w:type="dxa"/>
            <w:tcMar>
              <w:top w:w="15" w:type="dxa"/>
              <w:left w:w="15" w:type="dxa"/>
              <w:bottom w:w="0" w:type="dxa"/>
              <w:right w:w="15" w:type="dxa"/>
            </w:tcMar>
          </w:tcPr>
          <w:p w14:paraId="369CD259"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Recoverable Resources</w:t>
            </w:r>
          </w:p>
        </w:tc>
        <w:tc>
          <w:tcPr>
            <w:tcW w:w="1062" w:type="dxa"/>
          </w:tcPr>
          <w:p w14:paraId="393E6AA9"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2007 - 1.2</w:t>
            </w:r>
          </w:p>
        </w:tc>
        <w:tc>
          <w:tcPr>
            <w:tcW w:w="7202" w:type="dxa"/>
            <w:tcMar>
              <w:top w:w="15" w:type="dxa"/>
              <w:left w:w="15" w:type="dxa"/>
              <w:bottom w:w="0" w:type="dxa"/>
              <w:right w:w="15" w:type="dxa"/>
            </w:tcMar>
          </w:tcPr>
          <w:p w14:paraId="2A8EB66E"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Those quantities of hydrocarbons that are estimated to be producible from discovered or undiscovered accumulations.</w:t>
            </w:r>
          </w:p>
        </w:tc>
      </w:tr>
    </w:tbl>
    <w:p w14:paraId="5B67247C" w14:textId="77777777" w:rsidR="00B5367C" w:rsidRPr="00D30BC1" w:rsidRDefault="00B5367C" w:rsidP="00D30BC1">
      <w:r w:rsidRPr="00D30BC1">
        <w:br w:type="page"/>
      </w:r>
    </w:p>
    <w:tbl>
      <w:tblPr>
        <w:tblW w:w="972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58"/>
        <w:gridCol w:w="1062"/>
        <w:gridCol w:w="7202"/>
      </w:tblGrid>
      <w:tr w:rsidR="00BF46B4" w:rsidRPr="00D30BC1" w14:paraId="4416F3EF" w14:textId="77777777">
        <w:trPr>
          <w:trHeight w:val="772"/>
        </w:trPr>
        <w:tc>
          <w:tcPr>
            <w:tcW w:w="1458" w:type="dxa"/>
            <w:tcMar>
              <w:top w:w="15" w:type="dxa"/>
              <w:left w:w="15" w:type="dxa"/>
              <w:bottom w:w="0" w:type="dxa"/>
              <w:right w:w="15" w:type="dxa"/>
            </w:tcMar>
          </w:tcPr>
          <w:p w14:paraId="1EEF9B3D"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Recovery Efficiency</w:t>
            </w:r>
          </w:p>
        </w:tc>
        <w:tc>
          <w:tcPr>
            <w:tcW w:w="1062" w:type="dxa"/>
          </w:tcPr>
          <w:p w14:paraId="6923461B"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2007 - 2.2</w:t>
            </w:r>
          </w:p>
        </w:tc>
        <w:tc>
          <w:tcPr>
            <w:tcW w:w="7202" w:type="dxa"/>
            <w:tcMar>
              <w:top w:w="15" w:type="dxa"/>
              <w:left w:w="15" w:type="dxa"/>
              <w:bottom w:w="0" w:type="dxa"/>
              <w:right w:w="15" w:type="dxa"/>
            </w:tcMar>
          </w:tcPr>
          <w:p w14:paraId="09455693" w14:textId="77777777" w:rsidR="00BF46B4" w:rsidRPr="00D30BC1" w:rsidRDefault="00BF46B4" w:rsidP="00D30BC1">
            <w:pPr>
              <w:spacing w:after="120"/>
              <w:rPr>
                <w:rFonts w:ascii="Arial" w:eastAsia="Arial Unicode MS" w:hAnsi="Arial" w:cs="Arial"/>
                <w:sz w:val="20"/>
                <w:szCs w:val="20"/>
              </w:rPr>
            </w:pPr>
            <w:r w:rsidRPr="00D30BC1">
              <w:rPr>
                <w:rFonts w:ascii="Arial" w:eastAsia="Arial Unicode MS" w:hAnsi="Arial" w:cs="Arial"/>
                <w:sz w:val="20"/>
                <w:szCs w:val="20"/>
              </w:rPr>
              <w:t xml:space="preserve">A numeric expression of that portion of in-place quantities of petroleum estimated to be recoverable by specific processes or projects, most often represented as a percentage. </w:t>
            </w:r>
          </w:p>
        </w:tc>
      </w:tr>
      <w:tr w:rsidR="00BF46B4" w:rsidRPr="00D30BC1" w14:paraId="64607F09" w14:textId="77777777">
        <w:trPr>
          <w:trHeight w:val="54"/>
        </w:trPr>
        <w:tc>
          <w:tcPr>
            <w:tcW w:w="1458" w:type="dxa"/>
            <w:tcMar>
              <w:top w:w="15" w:type="dxa"/>
              <w:left w:w="15" w:type="dxa"/>
              <w:bottom w:w="0" w:type="dxa"/>
              <w:right w:w="15" w:type="dxa"/>
            </w:tcMar>
          </w:tcPr>
          <w:p w14:paraId="3F98E9F2" w14:textId="77777777" w:rsidR="00BF46B4" w:rsidRPr="00D30BC1" w:rsidRDefault="00BF46B4" w:rsidP="00D30BC1">
            <w:pPr>
              <w:rPr>
                <w:rFonts w:ascii="Arial" w:hAnsi="Arial" w:cs="Arial"/>
                <w:sz w:val="20"/>
                <w:szCs w:val="22"/>
              </w:rPr>
            </w:pPr>
            <w:r w:rsidRPr="00D30BC1">
              <w:rPr>
                <w:rFonts w:ascii="Arial" w:hAnsi="Arial" w:cs="Arial"/>
                <w:sz w:val="20"/>
                <w:szCs w:val="22"/>
              </w:rPr>
              <w:t>Reference Point</w:t>
            </w:r>
          </w:p>
        </w:tc>
        <w:tc>
          <w:tcPr>
            <w:tcW w:w="1062" w:type="dxa"/>
          </w:tcPr>
          <w:p w14:paraId="6853C5C0"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2007 - 3.2.1</w:t>
            </w:r>
          </w:p>
        </w:tc>
        <w:tc>
          <w:tcPr>
            <w:tcW w:w="7202" w:type="dxa"/>
            <w:tcMar>
              <w:top w:w="15" w:type="dxa"/>
              <w:left w:w="15" w:type="dxa"/>
              <w:bottom w:w="0" w:type="dxa"/>
              <w:right w:w="15" w:type="dxa"/>
            </w:tcMar>
          </w:tcPr>
          <w:p w14:paraId="70D6329C" w14:textId="77777777" w:rsidR="00BF46B4" w:rsidRPr="00D30BC1" w:rsidRDefault="00BF46B4" w:rsidP="00D30BC1">
            <w:pPr>
              <w:spacing w:after="120"/>
              <w:rPr>
                <w:rFonts w:ascii="Arial" w:eastAsia="Arial Unicode MS" w:hAnsi="Arial" w:cs="Arial"/>
                <w:sz w:val="20"/>
                <w:szCs w:val="20"/>
              </w:rPr>
            </w:pPr>
            <w:r w:rsidRPr="00D30BC1">
              <w:rPr>
                <w:rFonts w:ascii="Arial" w:eastAsia="Arial Unicode MS" w:hAnsi="Arial" w:cs="Arial"/>
                <w:sz w:val="20"/>
                <w:szCs w:val="20"/>
              </w:rPr>
              <w:t xml:space="preserve"> A defined location within a petroleum extraction and processing operation where quantities of produced product are measured under defined conditions prior to custody transfer (or consumption).  Also called Point of Sale or Custody Transfer Point.</w:t>
            </w:r>
          </w:p>
        </w:tc>
      </w:tr>
      <w:tr w:rsidR="00BF46B4" w:rsidRPr="00D30BC1" w14:paraId="230D337A" w14:textId="77777777">
        <w:trPr>
          <w:trHeight w:val="54"/>
        </w:trPr>
        <w:tc>
          <w:tcPr>
            <w:tcW w:w="1458" w:type="dxa"/>
            <w:tcMar>
              <w:top w:w="15" w:type="dxa"/>
              <w:left w:w="15" w:type="dxa"/>
              <w:bottom w:w="0" w:type="dxa"/>
              <w:right w:w="15" w:type="dxa"/>
            </w:tcMar>
          </w:tcPr>
          <w:p w14:paraId="64F6598E"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Reserves</w:t>
            </w:r>
          </w:p>
        </w:tc>
        <w:tc>
          <w:tcPr>
            <w:tcW w:w="1062" w:type="dxa"/>
          </w:tcPr>
          <w:p w14:paraId="59D67BE5"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2007 - 1.1</w:t>
            </w:r>
          </w:p>
        </w:tc>
        <w:tc>
          <w:tcPr>
            <w:tcW w:w="7202" w:type="dxa"/>
            <w:tcMar>
              <w:top w:w="15" w:type="dxa"/>
              <w:left w:w="15" w:type="dxa"/>
              <w:bottom w:w="0" w:type="dxa"/>
              <w:right w:w="15" w:type="dxa"/>
            </w:tcMar>
          </w:tcPr>
          <w:p w14:paraId="145BDBD5" w14:textId="77777777" w:rsidR="00BF46B4" w:rsidRPr="00D30BC1" w:rsidRDefault="00BF46B4" w:rsidP="00D30BC1">
            <w:pPr>
              <w:spacing w:after="120"/>
              <w:rPr>
                <w:rFonts w:ascii="Arial" w:eastAsia="Arial Unicode MS" w:hAnsi="Arial" w:cs="Arial"/>
                <w:sz w:val="20"/>
                <w:szCs w:val="20"/>
              </w:rPr>
            </w:pPr>
            <w:r w:rsidRPr="00D30BC1">
              <w:rPr>
                <w:rFonts w:ascii="Arial" w:hAnsi="Arial" w:cs="Arial"/>
                <w:bCs/>
                <w:sz w:val="20"/>
                <w:szCs w:val="20"/>
              </w:rPr>
              <w:t>Reserves are those quantities of petroleum anticipated to be commercially recoverable by application of development projects to known accumulations from a given date forward under defined conditions</w:t>
            </w:r>
            <w:r w:rsidRPr="00D30BC1">
              <w:rPr>
                <w:rFonts w:ascii="Arial" w:hAnsi="Arial" w:cs="Arial"/>
                <w:sz w:val="20"/>
                <w:szCs w:val="20"/>
              </w:rPr>
              <w:t>.</w:t>
            </w:r>
            <w:r w:rsidRPr="00D30BC1">
              <w:rPr>
                <w:rStyle w:val="header2green"/>
                <w:rFonts w:ascii="Arial" w:hAnsi="Arial" w:cs="Arial"/>
                <w:sz w:val="20"/>
                <w:szCs w:val="20"/>
              </w:rPr>
              <w:t xml:space="preserve"> Reserves must further satisfy four criteria: </w:t>
            </w:r>
            <w:r w:rsidR="00104E75" w:rsidRPr="00D30BC1">
              <w:rPr>
                <w:rStyle w:val="header2green"/>
                <w:rFonts w:ascii="Arial" w:hAnsi="Arial" w:cs="Arial"/>
                <w:sz w:val="20"/>
                <w:szCs w:val="20"/>
              </w:rPr>
              <w:t>T</w:t>
            </w:r>
            <w:r w:rsidRPr="00D30BC1">
              <w:rPr>
                <w:rStyle w:val="header2green"/>
                <w:rFonts w:ascii="Arial" w:hAnsi="Arial" w:cs="Arial"/>
                <w:sz w:val="20"/>
                <w:szCs w:val="20"/>
              </w:rPr>
              <w:t xml:space="preserve">hey must be discovered, recoverable, commercial, and remaining (as of a given date) based on the development project(s) applied. </w:t>
            </w:r>
          </w:p>
        </w:tc>
      </w:tr>
      <w:tr w:rsidR="00BF46B4" w:rsidRPr="00D30BC1" w14:paraId="2D88F42B" w14:textId="77777777">
        <w:trPr>
          <w:trHeight w:val="899"/>
        </w:trPr>
        <w:tc>
          <w:tcPr>
            <w:tcW w:w="1458" w:type="dxa"/>
            <w:tcMar>
              <w:top w:w="15" w:type="dxa"/>
              <w:left w:w="15" w:type="dxa"/>
              <w:bottom w:w="0" w:type="dxa"/>
              <w:right w:w="15" w:type="dxa"/>
            </w:tcMar>
          </w:tcPr>
          <w:p w14:paraId="4C7C9288"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Reservoir</w:t>
            </w:r>
          </w:p>
        </w:tc>
        <w:tc>
          <w:tcPr>
            <w:tcW w:w="1062" w:type="dxa"/>
          </w:tcPr>
          <w:p w14:paraId="620E429F" w14:textId="77777777" w:rsidR="00BF46B4" w:rsidRPr="00D30BC1" w:rsidRDefault="00BF46B4" w:rsidP="00D30BC1">
            <w:pPr>
              <w:rPr>
                <w:rFonts w:ascii="Arial" w:hAnsi="Arial" w:cs="Arial"/>
                <w:sz w:val="18"/>
                <w:szCs w:val="22"/>
              </w:rPr>
            </w:pPr>
            <w:r w:rsidRPr="00D30BC1">
              <w:rPr>
                <w:rFonts w:ascii="Arial" w:hAnsi="Arial" w:cs="Arial"/>
                <w:sz w:val="18"/>
                <w:szCs w:val="22"/>
              </w:rPr>
              <w:t>2001 - 2.3</w:t>
            </w:r>
          </w:p>
        </w:tc>
        <w:tc>
          <w:tcPr>
            <w:tcW w:w="7202" w:type="dxa"/>
            <w:tcMar>
              <w:top w:w="15" w:type="dxa"/>
              <w:left w:w="15" w:type="dxa"/>
              <w:bottom w:w="0" w:type="dxa"/>
              <w:right w:w="15" w:type="dxa"/>
            </w:tcMar>
          </w:tcPr>
          <w:p w14:paraId="581EB815" w14:textId="77777777" w:rsidR="00BF46B4" w:rsidRPr="00D30BC1" w:rsidRDefault="00BF46B4" w:rsidP="00D30BC1">
            <w:pPr>
              <w:spacing w:after="120"/>
              <w:rPr>
                <w:rFonts w:ascii="Arial" w:eastAsia="Arial Unicode MS" w:hAnsi="Arial" w:cs="Arial"/>
                <w:sz w:val="20"/>
                <w:szCs w:val="20"/>
              </w:rPr>
            </w:pPr>
            <w:r w:rsidRPr="00D30BC1">
              <w:rPr>
                <w:rFonts w:ascii="Arial" w:hAnsi="Arial" w:cs="Arial"/>
                <w:sz w:val="20"/>
                <w:szCs w:val="20"/>
              </w:rPr>
              <w:t xml:space="preserve">A subsurface rock formation containing an individual and separate natural accumulation of moveable petroleum that is confined by impermeable rocks/formations and is characterized by a single-pressure system. </w:t>
            </w:r>
          </w:p>
        </w:tc>
      </w:tr>
      <w:tr w:rsidR="00BF46B4" w:rsidRPr="00D30BC1" w14:paraId="315FB5FE" w14:textId="77777777">
        <w:trPr>
          <w:trHeight w:val="444"/>
        </w:trPr>
        <w:tc>
          <w:tcPr>
            <w:tcW w:w="1458" w:type="dxa"/>
            <w:tcMar>
              <w:top w:w="15" w:type="dxa"/>
              <w:left w:w="15" w:type="dxa"/>
              <w:bottom w:w="0" w:type="dxa"/>
              <w:right w:w="15" w:type="dxa"/>
            </w:tcMar>
          </w:tcPr>
          <w:p w14:paraId="7A0BD6BB" w14:textId="77777777" w:rsidR="00BF46B4" w:rsidRPr="00D30BC1" w:rsidRDefault="00BF46B4" w:rsidP="00D30BC1">
            <w:pPr>
              <w:rPr>
                <w:rFonts w:ascii="Arial" w:hAnsi="Arial" w:cs="Arial"/>
                <w:sz w:val="20"/>
                <w:szCs w:val="22"/>
              </w:rPr>
            </w:pPr>
            <w:r w:rsidRPr="00D30BC1">
              <w:rPr>
                <w:rFonts w:ascii="Arial" w:hAnsi="Arial" w:cs="Arial"/>
                <w:sz w:val="20"/>
                <w:szCs w:val="22"/>
              </w:rPr>
              <w:t>Resources</w:t>
            </w:r>
          </w:p>
        </w:tc>
        <w:tc>
          <w:tcPr>
            <w:tcW w:w="1062" w:type="dxa"/>
          </w:tcPr>
          <w:p w14:paraId="3339BE38" w14:textId="77777777" w:rsidR="00BF46B4" w:rsidRPr="00D30BC1" w:rsidRDefault="00BF46B4" w:rsidP="00D30BC1">
            <w:pPr>
              <w:rPr>
                <w:rFonts w:ascii="Arial" w:hAnsi="Arial" w:cs="Arial"/>
                <w:sz w:val="18"/>
                <w:szCs w:val="22"/>
              </w:rPr>
            </w:pPr>
            <w:r w:rsidRPr="00D30BC1">
              <w:rPr>
                <w:rFonts w:ascii="Arial" w:hAnsi="Arial" w:cs="Arial"/>
                <w:sz w:val="18"/>
                <w:szCs w:val="22"/>
              </w:rPr>
              <w:t>2007 - 1.1</w:t>
            </w:r>
          </w:p>
        </w:tc>
        <w:tc>
          <w:tcPr>
            <w:tcW w:w="7202" w:type="dxa"/>
            <w:tcMar>
              <w:top w:w="15" w:type="dxa"/>
              <w:left w:w="15" w:type="dxa"/>
              <w:bottom w:w="0" w:type="dxa"/>
              <w:right w:w="15" w:type="dxa"/>
            </w:tcMar>
          </w:tcPr>
          <w:p w14:paraId="49432E9A" w14:textId="77777777" w:rsidR="00BF46B4" w:rsidRPr="00D30BC1" w:rsidRDefault="00BF46B4" w:rsidP="00D30BC1">
            <w:pPr>
              <w:spacing w:after="120"/>
              <w:rPr>
                <w:rFonts w:ascii="Arial" w:hAnsi="Arial" w:cs="Arial"/>
                <w:sz w:val="20"/>
                <w:szCs w:val="20"/>
              </w:rPr>
            </w:pPr>
            <w:r w:rsidRPr="00D30BC1">
              <w:rPr>
                <w:rStyle w:val="header2green"/>
                <w:rFonts w:ascii="Arial" w:hAnsi="Arial" w:cs="Arial"/>
                <w:sz w:val="20"/>
                <w:szCs w:val="20"/>
              </w:rPr>
              <w:t xml:space="preserve">The term </w:t>
            </w:r>
            <w:r w:rsidR="00C30824" w:rsidRPr="00D30BC1">
              <w:rPr>
                <w:rStyle w:val="header2green"/>
                <w:rFonts w:ascii="Arial" w:hAnsi="Arial" w:cs="Arial"/>
                <w:sz w:val="20"/>
                <w:szCs w:val="20"/>
              </w:rPr>
              <w:t>“</w:t>
            </w:r>
            <w:r w:rsidRPr="00D30BC1">
              <w:rPr>
                <w:rStyle w:val="header2green"/>
                <w:rFonts w:ascii="Arial" w:hAnsi="Arial" w:cs="Arial"/>
                <w:sz w:val="20"/>
                <w:szCs w:val="20"/>
              </w:rPr>
              <w:t>resources</w:t>
            </w:r>
            <w:r w:rsidR="00C30824" w:rsidRPr="00D30BC1">
              <w:rPr>
                <w:rStyle w:val="header2green"/>
                <w:rFonts w:ascii="Arial" w:hAnsi="Arial" w:cs="Arial"/>
                <w:sz w:val="20"/>
                <w:szCs w:val="20"/>
              </w:rPr>
              <w:t>”</w:t>
            </w:r>
            <w:r w:rsidRPr="00D30BC1">
              <w:rPr>
                <w:rStyle w:val="header2green"/>
                <w:rFonts w:ascii="Arial" w:hAnsi="Arial" w:cs="Arial"/>
                <w:sz w:val="20"/>
                <w:szCs w:val="20"/>
              </w:rPr>
              <w:t xml:space="preserve"> as used herein is intended to encompass all quantities of petroleum (recoverable and unrecoverable) naturally occurring on or within the </w:t>
            </w:r>
            <w:r w:rsidR="00104E75" w:rsidRPr="00D30BC1">
              <w:rPr>
                <w:rStyle w:val="header2green"/>
                <w:rFonts w:ascii="Arial" w:hAnsi="Arial" w:cs="Arial"/>
                <w:sz w:val="20"/>
                <w:szCs w:val="20"/>
              </w:rPr>
              <w:t>E</w:t>
            </w:r>
            <w:r w:rsidRPr="00D30BC1">
              <w:rPr>
                <w:rStyle w:val="header2green"/>
                <w:rFonts w:ascii="Arial" w:hAnsi="Arial" w:cs="Arial"/>
                <w:sz w:val="20"/>
                <w:szCs w:val="20"/>
              </w:rPr>
              <w:t>arth</w:t>
            </w:r>
            <w:r w:rsidR="00C30824" w:rsidRPr="00D30BC1">
              <w:rPr>
                <w:rStyle w:val="header2green"/>
                <w:rFonts w:ascii="Arial" w:hAnsi="Arial" w:cs="Arial"/>
                <w:sz w:val="20"/>
                <w:szCs w:val="20"/>
              </w:rPr>
              <w:t>’</w:t>
            </w:r>
            <w:r w:rsidRPr="00D30BC1">
              <w:rPr>
                <w:rStyle w:val="header2green"/>
                <w:rFonts w:ascii="Arial" w:hAnsi="Arial" w:cs="Arial"/>
                <w:sz w:val="20"/>
                <w:szCs w:val="20"/>
              </w:rPr>
              <w:t>s crust, discovered and undiscovered, plus those quantities already produced.</w:t>
            </w:r>
            <w:r w:rsidRPr="00D30BC1">
              <w:rPr>
                <w:rFonts w:ascii="Arial" w:hAnsi="Arial" w:cs="Arial"/>
                <w:sz w:val="20"/>
                <w:szCs w:val="20"/>
              </w:rPr>
              <w:t xml:space="preserve"> Further, it includes all types of petroleum whether currently considered </w:t>
            </w:r>
            <w:r w:rsidR="00C30824" w:rsidRPr="00D30BC1">
              <w:rPr>
                <w:rFonts w:ascii="Arial" w:hAnsi="Arial" w:cs="Arial"/>
                <w:sz w:val="20"/>
                <w:szCs w:val="20"/>
              </w:rPr>
              <w:t>“</w:t>
            </w:r>
            <w:r w:rsidRPr="00D30BC1">
              <w:rPr>
                <w:rFonts w:ascii="Arial" w:hAnsi="Arial" w:cs="Arial"/>
                <w:sz w:val="20"/>
                <w:szCs w:val="20"/>
              </w:rPr>
              <w:t>conventional</w:t>
            </w:r>
            <w:r w:rsidR="00C30824" w:rsidRPr="00D30BC1">
              <w:rPr>
                <w:rFonts w:ascii="Arial" w:hAnsi="Arial" w:cs="Arial"/>
                <w:sz w:val="20"/>
                <w:szCs w:val="20"/>
              </w:rPr>
              <w:t>”</w:t>
            </w:r>
            <w:r w:rsidRPr="00D30BC1">
              <w:rPr>
                <w:rFonts w:ascii="Arial" w:hAnsi="Arial" w:cs="Arial"/>
                <w:sz w:val="20"/>
                <w:szCs w:val="20"/>
              </w:rPr>
              <w:t xml:space="preserve"> or </w:t>
            </w:r>
            <w:r w:rsidR="00C30824" w:rsidRPr="00D30BC1">
              <w:rPr>
                <w:rFonts w:ascii="Arial" w:hAnsi="Arial" w:cs="Arial"/>
                <w:sz w:val="20"/>
                <w:szCs w:val="20"/>
              </w:rPr>
              <w:t>“</w:t>
            </w:r>
            <w:r w:rsidRPr="00D30BC1">
              <w:rPr>
                <w:rFonts w:ascii="Arial" w:hAnsi="Arial" w:cs="Arial"/>
                <w:sz w:val="20"/>
                <w:szCs w:val="20"/>
              </w:rPr>
              <w:t>unconventional</w:t>
            </w:r>
            <w:r w:rsidR="00C30824" w:rsidRPr="00D30BC1">
              <w:rPr>
                <w:rFonts w:ascii="Arial" w:hAnsi="Arial" w:cs="Arial"/>
                <w:sz w:val="20"/>
                <w:szCs w:val="20"/>
              </w:rPr>
              <w:t>”</w:t>
            </w:r>
            <w:r w:rsidRPr="00D30BC1">
              <w:rPr>
                <w:rFonts w:ascii="Arial" w:hAnsi="Arial" w:cs="Arial"/>
                <w:sz w:val="20"/>
                <w:szCs w:val="20"/>
              </w:rPr>
              <w:t xml:space="preserve"> (see Total Petroleum Initially-in-Place). (In basin potential studies, it may be referred to as Total Resource Base or Hydrocarbon Endowment</w:t>
            </w:r>
            <w:r w:rsidR="00104E75" w:rsidRPr="00D30BC1">
              <w:rPr>
                <w:rFonts w:ascii="Arial" w:hAnsi="Arial" w:cs="Arial"/>
                <w:sz w:val="20"/>
                <w:szCs w:val="20"/>
              </w:rPr>
              <w:t>.</w:t>
            </w:r>
            <w:r w:rsidRPr="00D30BC1">
              <w:rPr>
                <w:rFonts w:ascii="Arial" w:hAnsi="Arial" w:cs="Arial"/>
                <w:sz w:val="20"/>
                <w:szCs w:val="20"/>
              </w:rPr>
              <w:t>)</w:t>
            </w:r>
          </w:p>
        </w:tc>
      </w:tr>
      <w:tr w:rsidR="00BF46B4" w:rsidRPr="00D30BC1" w14:paraId="4ECF34B4" w14:textId="77777777">
        <w:trPr>
          <w:trHeight w:val="250"/>
        </w:trPr>
        <w:tc>
          <w:tcPr>
            <w:tcW w:w="1458" w:type="dxa"/>
            <w:tcMar>
              <w:top w:w="15" w:type="dxa"/>
              <w:left w:w="15" w:type="dxa"/>
              <w:bottom w:w="0" w:type="dxa"/>
              <w:right w:w="15" w:type="dxa"/>
            </w:tcMar>
          </w:tcPr>
          <w:p w14:paraId="3FD5A844" w14:textId="77777777" w:rsidR="00BF46B4" w:rsidRPr="00D30BC1" w:rsidRDefault="00BF46B4" w:rsidP="00D30BC1">
            <w:pPr>
              <w:rPr>
                <w:rFonts w:ascii="Arial" w:hAnsi="Arial" w:cs="Arial"/>
                <w:sz w:val="20"/>
                <w:szCs w:val="22"/>
              </w:rPr>
            </w:pPr>
            <w:r w:rsidRPr="00D30BC1">
              <w:rPr>
                <w:rFonts w:ascii="Arial" w:hAnsi="Arial" w:cs="Arial"/>
                <w:sz w:val="20"/>
                <w:szCs w:val="22"/>
              </w:rPr>
              <w:t>Resources</w:t>
            </w:r>
          </w:p>
          <w:p w14:paraId="02A50E20" w14:textId="77777777" w:rsidR="00BF46B4" w:rsidRPr="00D30BC1" w:rsidRDefault="00BF46B4" w:rsidP="00D30BC1">
            <w:pPr>
              <w:rPr>
                <w:rFonts w:ascii="Arial" w:hAnsi="Arial" w:cs="Arial"/>
                <w:sz w:val="20"/>
                <w:szCs w:val="22"/>
              </w:rPr>
            </w:pPr>
            <w:r w:rsidRPr="00D30BC1">
              <w:rPr>
                <w:rFonts w:ascii="Arial" w:hAnsi="Arial" w:cs="Arial"/>
                <w:sz w:val="20"/>
                <w:szCs w:val="22"/>
              </w:rPr>
              <w:t>Categories</w:t>
            </w:r>
          </w:p>
        </w:tc>
        <w:tc>
          <w:tcPr>
            <w:tcW w:w="1062" w:type="dxa"/>
          </w:tcPr>
          <w:p w14:paraId="111B97CD" w14:textId="77777777" w:rsidR="00BF46B4" w:rsidRPr="00D30BC1" w:rsidRDefault="00BF46B4" w:rsidP="00D30BC1">
            <w:pPr>
              <w:rPr>
                <w:rFonts w:ascii="Arial" w:hAnsi="Arial" w:cs="Arial"/>
                <w:sz w:val="18"/>
                <w:szCs w:val="22"/>
              </w:rPr>
            </w:pPr>
            <w:r w:rsidRPr="00D30BC1">
              <w:rPr>
                <w:rFonts w:ascii="Arial" w:hAnsi="Arial" w:cs="Arial"/>
                <w:sz w:val="18"/>
                <w:szCs w:val="22"/>
              </w:rPr>
              <w:t>2007 - 2.2</w:t>
            </w:r>
          </w:p>
          <w:p w14:paraId="6A9B5376"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and Table </w:t>
            </w:r>
            <w:r w:rsidR="00104E75" w:rsidRPr="00D30BC1">
              <w:rPr>
                <w:rFonts w:ascii="Arial" w:hAnsi="Arial" w:cs="Arial"/>
                <w:sz w:val="18"/>
                <w:szCs w:val="22"/>
              </w:rPr>
              <w:t>3</w:t>
            </w:r>
          </w:p>
        </w:tc>
        <w:tc>
          <w:tcPr>
            <w:tcW w:w="7202" w:type="dxa"/>
            <w:tcMar>
              <w:top w:w="15" w:type="dxa"/>
              <w:left w:w="15" w:type="dxa"/>
              <w:bottom w:w="0" w:type="dxa"/>
              <w:right w:w="15" w:type="dxa"/>
            </w:tcMar>
          </w:tcPr>
          <w:p w14:paraId="63DDCB5A" w14:textId="77777777" w:rsidR="00BF46B4" w:rsidRPr="00D30BC1" w:rsidRDefault="00BF46B4" w:rsidP="00D30BC1">
            <w:pPr>
              <w:spacing w:after="120"/>
              <w:rPr>
                <w:rFonts w:ascii="Arial" w:hAnsi="Arial" w:cs="Arial"/>
                <w:sz w:val="20"/>
                <w:szCs w:val="20"/>
              </w:rPr>
            </w:pPr>
            <w:r w:rsidRPr="00D30BC1">
              <w:rPr>
                <w:rFonts w:ascii="Arial" w:hAnsi="Arial" w:cs="Arial"/>
                <w:sz w:val="20"/>
                <w:szCs w:val="20"/>
              </w:rPr>
              <w:t>Subdivisions of estimates of resources to be recovered by a project(s) to indicate the associated degrees of uncertainty. Categories reflect uncertainties in the total petroleum remaining within the accumulation (in-place resources), that portion of the in-place petroleum that can be recovered by applying a defined development project or projects, and variations in the conditions that may impact commercial development (e.g., market availab</w:t>
            </w:r>
            <w:r w:rsidR="00104E75" w:rsidRPr="00D30BC1">
              <w:rPr>
                <w:rFonts w:ascii="Arial" w:hAnsi="Arial" w:cs="Arial"/>
                <w:sz w:val="20"/>
                <w:szCs w:val="20"/>
              </w:rPr>
              <w:t>ility, contractual changes</w:t>
            </w:r>
            <w:r w:rsidRPr="00D30BC1">
              <w:rPr>
                <w:rFonts w:ascii="Arial" w:hAnsi="Arial" w:cs="Arial"/>
                <w:sz w:val="20"/>
                <w:szCs w:val="20"/>
              </w:rPr>
              <w:t xml:space="preserve">)  </w:t>
            </w:r>
          </w:p>
        </w:tc>
      </w:tr>
      <w:tr w:rsidR="00BF46B4" w:rsidRPr="00D30BC1" w14:paraId="5C0FDBEB" w14:textId="77777777">
        <w:trPr>
          <w:trHeight w:val="250"/>
        </w:trPr>
        <w:tc>
          <w:tcPr>
            <w:tcW w:w="1458" w:type="dxa"/>
            <w:tcMar>
              <w:top w:w="15" w:type="dxa"/>
              <w:left w:w="15" w:type="dxa"/>
              <w:bottom w:w="0" w:type="dxa"/>
              <w:right w:w="15" w:type="dxa"/>
            </w:tcMar>
          </w:tcPr>
          <w:p w14:paraId="7E25C4A3" w14:textId="77777777" w:rsidR="00BF46B4" w:rsidRPr="00D30BC1" w:rsidRDefault="00BF46B4" w:rsidP="00D30BC1">
            <w:pPr>
              <w:rPr>
                <w:rFonts w:ascii="Arial" w:hAnsi="Arial" w:cs="Arial"/>
                <w:sz w:val="20"/>
                <w:szCs w:val="22"/>
              </w:rPr>
            </w:pPr>
            <w:r w:rsidRPr="00D30BC1">
              <w:rPr>
                <w:rFonts w:ascii="Arial" w:hAnsi="Arial" w:cs="Arial"/>
                <w:sz w:val="20"/>
                <w:szCs w:val="22"/>
              </w:rPr>
              <w:t>Resources Classes</w:t>
            </w:r>
          </w:p>
        </w:tc>
        <w:tc>
          <w:tcPr>
            <w:tcW w:w="1062" w:type="dxa"/>
          </w:tcPr>
          <w:p w14:paraId="09F5ACF6"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w:t>
            </w:r>
            <w:r w:rsidR="00104E75" w:rsidRPr="00D30BC1">
              <w:rPr>
                <w:rFonts w:ascii="Arial" w:hAnsi="Arial" w:cs="Arial"/>
                <w:sz w:val="18"/>
                <w:szCs w:val="22"/>
              </w:rPr>
              <w:t xml:space="preserve">- </w:t>
            </w:r>
            <w:r w:rsidRPr="00D30BC1">
              <w:rPr>
                <w:rFonts w:ascii="Arial" w:hAnsi="Arial" w:cs="Arial"/>
                <w:sz w:val="18"/>
                <w:szCs w:val="22"/>
              </w:rPr>
              <w:t>1.1, 2.1  and Table</w:t>
            </w:r>
            <w:r w:rsidR="00104E75" w:rsidRPr="00D30BC1">
              <w:rPr>
                <w:rFonts w:ascii="Arial" w:hAnsi="Arial" w:cs="Arial"/>
                <w:sz w:val="18"/>
                <w:szCs w:val="22"/>
              </w:rPr>
              <w:t xml:space="preserve"> 1</w:t>
            </w:r>
          </w:p>
        </w:tc>
        <w:tc>
          <w:tcPr>
            <w:tcW w:w="7202" w:type="dxa"/>
            <w:tcMar>
              <w:top w:w="15" w:type="dxa"/>
              <w:left w:w="15" w:type="dxa"/>
              <w:bottom w:w="0" w:type="dxa"/>
              <w:right w:w="15" w:type="dxa"/>
            </w:tcMar>
          </w:tcPr>
          <w:p w14:paraId="30F903B4" w14:textId="77777777" w:rsidR="00BF46B4" w:rsidRPr="00D30BC1" w:rsidRDefault="00BF46B4" w:rsidP="00D30BC1">
            <w:pPr>
              <w:spacing w:after="120"/>
              <w:rPr>
                <w:rFonts w:ascii="Arial" w:hAnsi="Arial" w:cs="Arial"/>
                <w:sz w:val="20"/>
                <w:szCs w:val="20"/>
              </w:rPr>
            </w:pPr>
            <w:r w:rsidRPr="00D30BC1">
              <w:rPr>
                <w:rFonts w:ascii="Arial" w:hAnsi="Arial" w:cs="Arial"/>
                <w:sz w:val="20"/>
                <w:szCs w:val="20"/>
              </w:rPr>
              <w:t>Subdivisions of Resources that indicate the relative maturity of the development projects being applied to yield the recoverable quantity estimates. Project maturity may be indicated qualitatively by allocation to classes and sub-classes and/or quantitatively by associating a project</w:t>
            </w:r>
            <w:r w:rsidR="00C30824" w:rsidRPr="00D30BC1">
              <w:rPr>
                <w:rFonts w:ascii="Arial" w:hAnsi="Arial" w:cs="Arial"/>
                <w:sz w:val="20"/>
                <w:szCs w:val="20"/>
              </w:rPr>
              <w:t>’</w:t>
            </w:r>
            <w:r w:rsidRPr="00D30BC1">
              <w:rPr>
                <w:rFonts w:ascii="Arial" w:hAnsi="Arial" w:cs="Arial"/>
                <w:sz w:val="20"/>
                <w:szCs w:val="20"/>
              </w:rPr>
              <w:t xml:space="preserve">s estimated chance of reaching producing status. </w:t>
            </w:r>
          </w:p>
        </w:tc>
      </w:tr>
      <w:tr w:rsidR="00BF46B4" w:rsidRPr="00D30BC1" w14:paraId="2B6F9664" w14:textId="77777777">
        <w:trPr>
          <w:trHeight w:val="1118"/>
        </w:trPr>
        <w:tc>
          <w:tcPr>
            <w:tcW w:w="1458" w:type="dxa"/>
            <w:tcMar>
              <w:top w:w="15" w:type="dxa"/>
              <w:left w:w="15" w:type="dxa"/>
              <w:bottom w:w="0" w:type="dxa"/>
              <w:right w:w="15" w:type="dxa"/>
            </w:tcMar>
          </w:tcPr>
          <w:p w14:paraId="6774A3CE"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Revenue- Sharing Contract</w:t>
            </w:r>
          </w:p>
        </w:tc>
        <w:tc>
          <w:tcPr>
            <w:tcW w:w="1062" w:type="dxa"/>
          </w:tcPr>
          <w:p w14:paraId="00BD0316" w14:textId="77777777" w:rsidR="00BF46B4" w:rsidRPr="00D30BC1" w:rsidRDefault="00BF46B4" w:rsidP="00D30BC1">
            <w:pPr>
              <w:rPr>
                <w:rFonts w:ascii="Arial" w:hAnsi="Arial" w:cs="Arial"/>
                <w:sz w:val="20"/>
                <w:szCs w:val="22"/>
              </w:rPr>
            </w:pPr>
            <w:r w:rsidRPr="00D30BC1">
              <w:rPr>
                <w:rFonts w:ascii="Arial" w:hAnsi="Arial" w:cs="Arial"/>
                <w:sz w:val="18"/>
                <w:szCs w:val="22"/>
              </w:rPr>
              <w:t>2001 - 9.6.3</w:t>
            </w:r>
          </w:p>
        </w:tc>
        <w:tc>
          <w:tcPr>
            <w:tcW w:w="7202" w:type="dxa"/>
            <w:tcMar>
              <w:top w:w="15" w:type="dxa"/>
              <w:left w:w="15" w:type="dxa"/>
              <w:bottom w:w="0" w:type="dxa"/>
              <w:right w:w="15" w:type="dxa"/>
            </w:tcMar>
          </w:tcPr>
          <w:p w14:paraId="6E2C1006" w14:textId="77777777" w:rsidR="00BF46B4" w:rsidRPr="00D30BC1" w:rsidRDefault="00BF46B4" w:rsidP="00D30BC1">
            <w:pPr>
              <w:spacing w:after="120"/>
              <w:rPr>
                <w:rFonts w:ascii="Arial" w:eastAsia="Arial Unicode MS" w:hAnsi="Arial" w:cs="Arial"/>
                <w:sz w:val="20"/>
                <w:szCs w:val="20"/>
              </w:rPr>
            </w:pPr>
            <w:r w:rsidRPr="00D30BC1">
              <w:rPr>
                <w:rFonts w:ascii="Arial" w:hAnsi="Arial" w:cs="Arial"/>
                <w:sz w:val="20"/>
                <w:szCs w:val="20"/>
              </w:rPr>
              <w:t xml:space="preserve">Revenue-sharing contracts are very similar to the production-sharing contracts described earlier, with the exception of contractor payment. With these contracts, the contractor usually receives a defined share of revenue rather than a share of the production. </w:t>
            </w:r>
          </w:p>
        </w:tc>
      </w:tr>
      <w:tr w:rsidR="00BF46B4" w:rsidRPr="00D30BC1" w14:paraId="23CAA773" w14:textId="77777777" w:rsidTr="00D30BC1">
        <w:trPr>
          <w:trHeight w:val="588"/>
        </w:trPr>
        <w:tc>
          <w:tcPr>
            <w:tcW w:w="1458" w:type="dxa"/>
            <w:tcMar>
              <w:top w:w="15" w:type="dxa"/>
              <w:left w:w="15" w:type="dxa"/>
              <w:bottom w:w="0" w:type="dxa"/>
              <w:right w:w="15" w:type="dxa"/>
            </w:tcMar>
          </w:tcPr>
          <w:p w14:paraId="72E94208" w14:textId="77777777" w:rsidR="00BF46B4" w:rsidRPr="00D30BC1" w:rsidRDefault="00BF46B4" w:rsidP="00D30BC1">
            <w:pPr>
              <w:rPr>
                <w:rFonts w:ascii="Arial" w:hAnsi="Arial" w:cs="Arial"/>
                <w:sz w:val="20"/>
                <w:szCs w:val="22"/>
              </w:rPr>
            </w:pPr>
            <w:r w:rsidRPr="00D30BC1">
              <w:rPr>
                <w:rFonts w:ascii="Arial" w:hAnsi="Arial" w:cs="Arial"/>
                <w:sz w:val="20"/>
                <w:szCs w:val="22"/>
              </w:rPr>
              <w:t>Reversionary Interest</w:t>
            </w:r>
          </w:p>
        </w:tc>
        <w:tc>
          <w:tcPr>
            <w:tcW w:w="1062" w:type="dxa"/>
            <w:shd w:val="clear" w:color="auto" w:fill="auto"/>
          </w:tcPr>
          <w:p w14:paraId="79972696" w14:textId="77777777" w:rsidR="00BF46B4" w:rsidRPr="00D30BC1" w:rsidRDefault="00BF46B4" w:rsidP="00D30BC1">
            <w:pPr>
              <w:rPr>
                <w:rFonts w:ascii="Arial" w:eastAsia="Arial Unicode MS" w:hAnsi="Arial" w:cs="Arial"/>
                <w:sz w:val="20"/>
                <w:szCs w:val="22"/>
              </w:rPr>
            </w:pPr>
          </w:p>
        </w:tc>
        <w:tc>
          <w:tcPr>
            <w:tcW w:w="7202" w:type="dxa"/>
            <w:tcMar>
              <w:top w:w="15" w:type="dxa"/>
              <w:left w:w="15" w:type="dxa"/>
              <w:bottom w:w="0" w:type="dxa"/>
              <w:right w:w="15" w:type="dxa"/>
            </w:tcMar>
          </w:tcPr>
          <w:p w14:paraId="36B04819" w14:textId="77777777" w:rsidR="00BF46B4" w:rsidRPr="00D30BC1" w:rsidRDefault="00BF46B4" w:rsidP="00D30BC1">
            <w:pPr>
              <w:spacing w:after="120"/>
              <w:rPr>
                <w:rFonts w:ascii="Arial" w:eastAsia="Arial Unicode MS" w:hAnsi="Arial" w:cs="Arial"/>
                <w:sz w:val="20"/>
                <w:szCs w:val="20"/>
              </w:rPr>
            </w:pPr>
            <w:r w:rsidRPr="00D30BC1">
              <w:rPr>
                <w:rFonts w:ascii="Arial" w:eastAsia="Arial Unicode MS" w:hAnsi="Arial" w:cs="Arial"/>
                <w:sz w:val="20"/>
                <w:szCs w:val="20"/>
              </w:rPr>
              <w:t>The right of future possession of an interest in a property when a specified condition has been met.</w:t>
            </w:r>
          </w:p>
        </w:tc>
      </w:tr>
      <w:tr w:rsidR="00BF46B4" w:rsidRPr="00D30BC1" w14:paraId="525CB9E9" w14:textId="77777777">
        <w:trPr>
          <w:trHeight w:val="919"/>
        </w:trPr>
        <w:tc>
          <w:tcPr>
            <w:tcW w:w="1458" w:type="dxa"/>
            <w:tcMar>
              <w:top w:w="15" w:type="dxa"/>
              <w:left w:w="15" w:type="dxa"/>
              <w:bottom w:w="0" w:type="dxa"/>
              <w:right w:w="15" w:type="dxa"/>
            </w:tcMar>
          </w:tcPr>
          <w:p w14:paraId="30869B61"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 xml:space="preserve">Risk    </w:t>
            </w:r>
          </w:p>
        </w:tc>
        <w:tc>
          <w:tcPr>
            <w:tcW w:w="1062" w:type="dxa"/>
          </w:tcPr>
          <w:p w14:paraId="37039F59"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2001 - 2.5</w:t>
            </w:r>
          </w:p>
        </w:tc>
        <w:tc>
          <w:tcPr>
            <w:tcW w:w="7202" w:type="dxa"/>
            <w:tcMar>
              <w:top w:w="15" w:type="dxa"/>
              <w:left w:w="15" w:type="dxa"/>
              <w:bottom w:w="0" w:type="dxa"/>
              <w:right w:w="15" w:type="dxa"/>
            </w:tcMar>
          </w:tcPr>
          <w:p w14:paraId="2104DB45" w14:textId="77777777" w:rsidR="00BF46B4" w:rsidRPr="00D30BC1" w:rsidRDefault="00BF46B4" w:rsidP="00D30BC1">
            <w:pPr>
              <w:spacing w:after="120"/>
              <w:rPr>
                <w:rFonts w:ascii="Arial" w:eastAsia="Arial Unicode MS" w:hAnsi="Arial" w:cs="Arial"/>
                <w:sz w:val="20"/>
                <w:szCs w:val="20"/>
              </w:rPr>
            </w:pPr>
            <w:r w:rsidRPr="00D30BC1">
              <w:rPr>
                <w:rFonts w:ascii="Arial" w:eastAsia="Arial Unicode MS" w:hAnsi="Arial" w:cs="Arial"/>
                <w:sz w:val="20"/>
                <w:szCs w:val="20"/>
              </w:rPr>
              <w:t xml:space="preserve">The probability of loss or failure. As </w:t>
            </w:r>
            <w:r w:rsidR="00C30824" w:rsidRPr="00D30BC1">
              <w:rPr>
                <w:rFonts w:ascii="Arial" w:eastAsia="Arial Unicode MS" w:hAnsi="Arial" w:cs="Arial"/>
                <w:sz w:val="20"/>
                <w:szCs w:val="20"/>
              </w:rPr>
              <w:t>“</w:t>
            </w:r>
            <w:r w:rsidRPr="00D30BC1">
              <w:rPr>
                <w:rFonts w:ascii="Arial" w:eastAsia="Arial Unicode MS" w:hAnsi="Arial" w:cs="Arial"/>
                <w:sz w:val="20"/>
                <w:szCs w:val="20"/>
              </w:rPr>
              <w:t>risk</w:t>
            </w:r>
            <w:r w:rsidR="00C30824" w:rsidRPr="00D30BC1">
              <w:rPr>
                <w:rFonts w:ascii="Arial" w:eastAsia="Arial Unicode MS" w:hAnsi="Arial" w:cs="Arial"/>
                <w:sz w:val="20"/>
                <w:szCs w:val="20"/>
              </w:rPr>
              <w:t>”</w:t>
            </w:r>
            <w:r w:rsidRPr="00D30BC1">
              <w:rPr>
                <w:rFonts w:ascii="Arial" w:eastAsia="Arial Unicode MS" w:hAnsi="Arial" w:cs="Arial"/>
                <w:sz w:val="20"/>
                <w:szCs w:val="20"/>
              </w:rPr>
              <w:t xml:space="preserve"> is generally associated with the negative outcome, the term </w:t>
            </w:r>
            <w:r w:rsidR="00C30824" w:rsidRPr="00D30BC1">
              <w:rPr>
                <w:rFonts w:ascii="Arial" w:eastAsia="Arial Unicode MS" w:hAnsi="Arial" w:cs="Arial"/>
                <w:sz w:val="20"/>
                <w:szCs w:val="20"/>
              </w:rPr>
              <w:t>“</w:t>
            </w:r>
            <w:r w:rsidRPr="00D30BC1">
              <w:rPr>
                <w:rFonts w:ascii="Arial" w:eastAsia="Arial Unicode MS" w:hAnsi="Arial" w:cs="Arial"/>
                <w:sz w:val="20"/>
                <w:szCs w:val="20"/>
              </w:rPr>
              <w:t>chance</w:t>
            </w:r>
            <w:r w:rsidR="00C30824" w:rsidRPr="00D30BC1">
              <w:rPr>
                <w:rFonts w:ascii="Arial" w:eastAsia="Arial Unicode MS" w:hAnsi="Arial" w:cs="Arial"/>
                <w:sz w:val="20"/>
                <w:szCs w:val="20"/>
              </w:rPr>
              <w:t>”</w:t>
            </w:r>
            <w:r w:rsidRPr="00D30BC1">
              <w:rPr>
                <w:rFonts w:ascii="Arial" w:eastAsia="Arial Unicode MS" w:hAnsi="Arial" w:cs="Arial"/>
                <w:sz w:val="20"/>
                <w:szCs w:val="20"/>
              </w:rPr>
              <w:t xml:space="preserve"> is preferred for general usage to describe the probability of a discrete event occurring.  </w:t>
            </w:r>
          </w:p>
        </w:tc>
      </w:tr>
    </w:tbl>
    <w:p w14:paraId="4A55034D" w14:textId="77777777" w:rsidR="00105B34" w:rsidRPr="00D30BC1" w:rsidRDefault="00105B34" w:rsidP="00D30BC1">
      <w:r w:rsidRPr="00D30BC1">
        <w:br w:type="page"/>
      </w:r>
    </w:p>
    <w:tbl>
      <w:tblPr>
        <w:tblW w:w="9722"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40"/>
        <w:gridCol w:w="18"/>
        <w:gridCol w:w="1062"/>
        <w:gridCol w:w="7202"/>
      </w:tblGrid>
      <w:tr w:rsidR="00BF46B4" w:rsidRPr="00D30BC1" w14:paraId="71E31658" w14:textId="77777777" w:rsidTr="00D30BC1">
        <w:trPr>
          <w:trHeight w:val="1576"/>
        </w:trPr>
        <w:tc>
          <w:tcPr>
            <w:tcW w:w="1458" w:type="dxa"/>
            <w:gridSpan w:val="2"/>
            <w:shd w:val="clear" w:color="auto" w:fill="auto"/>
            <w:tcMar>
              <w:top w:w="15" w:type="dxa"/>
              <w:left w:w="15" w:type="dxa"/>
              <w:bottom w:w="0" w:type="dxa"/>
              <w:right w:w="15" w:type="dxa"/>
            </w:tcMar>
          </w:tcPr>
          <w:p w14:paraId="3A6C6AC7"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Risk and Reward</w:t>
            </w:r>
          </w:p>
        </w:tc>
        <w:tc>
          <w:tcPr>
            <w:tcW w:w="1062" w:type="dxa"/>
            <w:shd w:val="clear" w:color="auto" w:fill="auto"/>
          </w:tcPr>
          <w:p w14:paraId="6C492AE8" w14:textId="77777777" w:rsidR="00BF46B4" w:rsidRPr="00D30BC1" w:rsidRDefault="00BF46B4" w:rsidP="00D30BC1">
            <w:pPr>
              <w:rPr>
                <w:rFonts w:ascii="Arial" w:hAnsi="Arial" w:cs="Arial"/>
                <w:sz w:val="18"/>
                <w:szCs w:val="22"/>
              </w:rPr>
            </w:pPr>
            <w:r w:rsidRPr="00D30BC1">
              <w:rPr>
                <w:rFonts w:ascii="Arial" w:hAnsi="Arial" w:cs="Arial"/>
                <w:sz w:val="18"/>
                <w:szCs w:val="22"/>
              </w:rPr>
              <w:t>2001 - 9.4</w:t>
            </w:r>
          </w:p>
        </w:tc>
        <w:tc>
          <w:tcPr>
            <w:tcW w:w="7202" w:type="dxa"/>
            <w:shd w:val="clear" w:color="auto" w:fill="auto"/>
            <w:tcMar>
              <w:top w:w="15" w:type="dxa"/>
              <w:left w:w="15" w:type="dxa"/>
              <w:bottom w:w="0" w:type="dxa"/>
              <w:right w:w="15" w:type="dxa"/>
            </w:tcMar>
          </w:tcPr>
          <w:p w14:paraId="4E000595"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Risk and reward associated with oil and gas production activities stems primarily from the variation in revenues due to technical and economic risks. Technical risk affects a company</w:t>
            </w:r>
            <w:r w:rsidR="00C30824" w:rsidRPr="00D30BC1">
              <w:rPr>
                <w:rFonts w:cs="Arial"/>
                <w:sz w:val="18"/>
                <w:szCs w:val="22"/>
              </w:rPr>
              <w:t>’</w:t>
            </w:r>
            <w:r w:rsidRPr="00D30BC1">
              <w:rPr>
                <w:rFonts w:ascii="Arial" w:hAnsi="Arial" w:cs="Arial"/>
                <w:sz w:val="20"/>
                <w:szCs w:val="22"/>
              </w:rPr>
              <w:t xml:space="preserve">s ability to physically extract and recover hydrocarbons and is usually dependent on a number of technical parameters. Economic risk is a function of the success of a project and is critically dependent on cost, price, </w:t>
            </w:r>
            <w:r w:rsidR="00B00132" w:rsidRPr="00D30BC1">
              <w:rPr>
                <w:rFonts w:ascii="Arial" w:hAnsi="Arial" w:cs="Arial"/>
                <w:sz w:val="20"/>
                <w:szCs w:val="22"/>
              </w:rPr>
              <w:t xml:space="preserve">and </w:t>
            </w:r>
            <w:r w:rsidRPr="00D30BC1">
              <w:rPr>
                <w:rFonts w:ascii="Arial" w:hAnsi="Arial" w:cs="Arial"/>
                <w:sz w:val="20"/>
                <w:szCs w:val="22"/>
              </w:rPr>
              <w:t>political or other economic factors</w:t>
            </w:r>
            <w:r w:rsidR="00B00132" w:rsidRPr="00D30BC1">
              <w:rPr>
                <w:rFonts w:ascii="Arial" w:hAnsi="Arial" w:cs="Arial"/>
                <w:sz w:val="20"/>
                <w:szCs w:val="22"/>
              </w:rPr>
              <w:t>.</w:t>
            </w:r>
          </w:p>
        </w:tc>
      </w:tr>
      <w:tr w:rsidR="00BF46B4" w:rsidRPr="00D30BC1" w14:paraId="078A4BD1" w14:textId="77777777" w:rsidTr="00D30BC1">
        <w:trPr>
          <w:trHeight w:val="250"/>
        </w:trPr>
        <w:tc>
          <w:tcPr>
            <w:tcW w:w="1458" w:type="dxa"/>
            <w:gridSpan w:val="2"/>
            <w:shd w:val="clear" w:color="auto" w:fill="auto"/>
            <w:tcMar>
              <w:top w:w="15" w:type="dxa"/>
              <w:left w:w="15" w:type="dxa"/>
              <w:bottom w:w="0" w:type="dxa"/>
              <w:right w:w="15" w:type="dxa"/>
            </w:tcMar>
          </w:tcPr>
          <w:p w14:paraId="2FDD196B"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Risked-Service Contract</w:t>
            </w:r>
          </w:p>
        </w:tc>
        <w:tc>
          <w:tcPr>
            <w:tcW w:w="1062" w:type="dxa"/>
            <w:shd w:val="clear" w:color="auto" w:fill="auto"/>
          </w:tcPr>
          <w:p w14:paraId="5024E3A1" w14:textId="77777777" w:rsidR="00BF46B4" w:rsidRPr="00D30BC1" w:rsidRDefault="00BF46B4" w:rsidP="00D30BC1">
            <w:pPr>
              <w:rPr>
                <w:rFonts w:ascii="Arial" w:hAnsi="Arial" w:cs="Arial"/>
                <w:sz w:val="18"/>
                <w:szCs w:val="22"/>
              </w:rPr>
            </w:pPr>
            <w:r w:rsidRPr="00D30BC1">
              <w:rPr>
                <w:rFonts w:ascii="Arial" w:hAnsi="Arial" w:cs="Arial"/>
                <w:sz w:val="18"/>
                <w:szCs w:val="22"/>
              </w:rPr>
              <w:t>2007 - 3.3.2</w:t>
            </w:r>
          </w:p>
          <w:p w14:paraId="323D7573" w14:textId="77777777" w:rsidR="00BF46B4" w:rsidRPr="00D30BC1" w:rsidRDefault="00BF46B4" w:rsidP="00D30BC1">
            <w:pPr>
              <w:rPr>
                <w:rFonts w:ascii="Arial" w:hAnsi="Arial" w:cs="Arial"/>
                <w:sz w:val="18"/>
                <w:szCs w:val="22"/>
              </w:rPr>
            </w:pPr>
            <w:r w:rsidRPr="00D30BC1">
              <w:rPr>
                <w:rFonts w:ascii="Arial" w:hAnsi="Arial" w:cs="Arial"/>
                <w:sz w:val="18"/>
                <w:szCs w:val="22"/>
              </w:rPr>
              <w:t>2001 - 9.7.4</w:t>
            </w:r>
          </w:p>
        </w:tc>
        <w:tc>
          <w:tcPr>
            <w:tcW w:w="7202" w:type="dxa"/>
            <w:shd w:val="clear" w:color="auto" w:fill="auto"/>
            <w:tcMar>
              <w:top w:w="15" w:type="dxa"/>
              <w:left w:w="15" w:type="dxa"/>
              <w:bottom w:w="0" w:type="dxa"/>
              <w:right w:w="15" w:type="dxa"/>
            </w:tcMar>
          </w:tcPr>
          <w:p w14:paraId="7ACF8E12"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These agreements are very similar to the production-sharing agreements with the exception of contractor payment, but risk is borne by the contractor. With a risked-service contract, the contractor usually receives a defined share of revenue rather than a share of the production. </w:t>
            </w:r>
          </w:p>
        </w:tc>
      </w:tr>
      <w:tr w:rsidR="00BF46B4" w:rsidRPr="00D30BC1" w14:paraId="2D546BF0" w14:textId="77777777" w:rsidTr="00D30BC1">
        <w:trPr>
          <w:trHeight w:val="1325"/>
        </w:trPr>
        <w:tc>
          <w:tcPr>
            <w:tcW w:w="1458" w:type="dxa"/>
            <w:gridSpan w:val="2"/>
            <w:shd w:val="clear" w:color="auto" w:fill="auto"/>
            <w:tcMar>
              <w:top w:w="15" w:type="dxa"/>
              <w:left w:w="15" w:type="dxa"/>
              <w:bottom w:w="0" w:type="dxa"/>
              <w:right w:w="15" w:type="dxa"/>
            </w:tcMar>
          </w:tcPr>
          <w:p w14:paraId="5F8B4D64"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Royalty</w:t>
            </w:r>
          </w:p>
        </w:tc>
        <w:tc>
          <w:tcPr>
            <w:tcW w:w="1062" w:type="dxa"/>
            <w:shd w:val="clear" w:color="auto" w:fill="auto"/>
          </w:tcPr>
          <w:p w14:paraId="7E24E591" w14:textId="77777777" w:rsidR="00BF46B4" w:rsidRPr="00D30BC1" w:rsidRDefault="00BF46B4" w:rsidP="00D30BC1">
            <w:pPr>
              <w:rPr>
                <w:rFonts w:ascii="Arial" w:hAnsi="Arial" w:cs="Arial"/>
                <w:sz w:val="18"/>
                <w:szCs w:val="22"/>
              </w:rPr>
            </w:pPr>
            <w:r w:rsidRPr="00D30BC1">
              <w:rPr>
                <w:rFonts w:ascii="Arial" w:hAnsi="Arial" w:cs="Arial"/>
                <w:sz w:val="18"/>
                <w:szCs w:val="22"/>
              </w:rPr>
              <w:t>2007 - 3.3.1</w:t>
            </w:r>
          </w:p>
          <w:p w14:paraId="6887EF9F" w14:textId="77777777" w:rsidR="00BF46B4" w:rsidRPr="00D30BC1" w:rsidRDefault="00BF46B4" w:rsidP="00D30BC1">
            <w:pPr>
              <w:rPr>
                <w:rFonts w:ascii="Arial" w:hAnsi="Arial" w:cs="Arial"/>
                <w:sz w:val="18"/>
                <w:szCs w:val="22"/>
              </w:rPr>
            </w:pPr>
            <w:r w:rsidRPr="00D30BC1">
              <w:rPr>
                <w:rFonts w:ascii="Arial" w:hAnsi="Arial" w:cs="Arial"/>
                <w:sz w:val="18"/>
                <w:szCs w:val="22"/>
              </w:rPr>
              <w:t>2001 - 3.8</w:t>
            </w:r>
          </w:p>
        </w:tc>
        <w:tc>
          <w:tcPr>
            <w:tcW w:w="7202" w:type="dxa"/>
            <w:shd w:val="clear" w:color="auto" w:fill="auto"/>
            <w:tcMar>
              <w:top w:w="15" w:type="dxa"/>
              <w:left w:w="15" w:type="dxa"/>
              <w:bottom w:w="0" w:type="dxa"/>
              <w:right w:w="15" w:type="dxa"/>
            </w:tcMar>
          </w:tcPr>
          <w:p w14:paraId="4200A205"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Royalty refers to payments that are due to the host government or mineral owner (lessor) in return for depletion of the reservoirs and the producer (lessee/contractor) for having access to the petroleum resources.</w:t>
            </w:r>
            <w:r w:rsidRPr="00D30BC1">
              <w:rPr>
                <w:rFonts w:ascii="Arial" w:hAnsi="Arial" w:cs="Arial"/>
                <w:b/>
                <w:bCs/>
                <w:sz w:val="20"/>
                <w:szCs w:val="22"/>
              </w:rPr>
              <w:t xml:space="preserve"> </w:t>
            </w:r>
            <w:r w:rsidRPr="00D30BC1">
              <w:rPr>
                <w:rFonts w:ascii="Arial" w:hAnsi="Arial" w:cs="Arial"/>
                <w:sz w:val="20"/>
                <w:szCs w:val="22"/>
              </w:rPr>
              <w:t>Many agreements allow for the producer to lift the royalty volumes, sell them on behalf of the royalty owner, and pay the proceeds to the owner. Some agreements provide for the royalty to be taken only in kind by the royalty owner.</w:t>
            </w:r>
            <w:r w:rsidR="001D5FD0" w:rsidRPr="00D30BC1">
              <w:rPr>
                <w:rFonts w:ascii="Arial" w:eastAsia="Arial Unicode MS" w:hAnsi="Arial" w:cs="Arial"/>
                <w:sz w:val="20"/>
                <w:szCs w:val="22"/>
              </w:rPr>
              <w:t xml:space="preserve"> </w:t>
            </w:r>
          </w:p>
        </w:tc>
      </w:tr>
      <w:tr w:rsidR="00BF46B4" w:rsidRPr="00D30BC1" w14:paraId="7B18ABEB" w14:textId="77777777" w:rsidTr="00D30BC1">
        <w:trPr>
          <w:trHeight w:val="1160"/>
        </w:trPr>
        <w:tc>
          <w:tcPr>
            <w:tcW w:w="1458" w:type="dxa"/>
            <w:gridSpan w:val="2"/>
            <w:shd w:val="clear" w:color="auto" w:fill="auto"/>
            <w:tcMar>
              <w:top w:w="15" w:type="dxa"/>
              <w:left w:w="15" w:type="dxa"/>
              <w:bottom w:w="0" w:type="dxa"/>
              <w:right w:w="15" w:type="dxa"/>
            </w:tcMar>
          </w:tcPr>
          <w:p w14:paraId="1ABDB307" w14:textId="77777777" w:rsidR="00BF46B4" w:rsidRPr="00D30BC1" w:rsidRDefault="00BF46B4" w:rsidP="00D30BC1">
            <w:pPr>
              <w:rPr>
                <w:rFonts w:ascii="Arial" w:hAnsi="Arial" w:cs="Arial"/>
                <w:sz w:val="20"/>
                <w:szCs w:val="22"/>
              </w:rPr>
            </w:pPr>
            <w:r w:rsidRPr="00D30BC1">
              <w:rPr>
                <w:rFonts w:ascii="Arial" w:hAnsi="Arial" w:cs="Arial"/>
                <w:sz w:val="20"/>
                <w:szCs w:val="22"/>
              </w:rPr>
              <w:t>Sales</w:t>
            </w:r>
          </w:p>
        </w:tc>
        <w:tc>
          <w:tcPr>
            <w:tcW w:w="1062" w:type="dxa"/>
            <w:shd w:val="clear" w:color="auto" w:fill="auto"/>
          </w:tcPr>
          <w:p w14:paraId="7A89C90A" w14:textId="77777777" w:rsidR="00BF46B4" w:rsidRPr="00D30BC1" w:rsidRDefault="00BF46B4" w:rsidP="00D30BC1">
            <w:pPr>
              <w:rPr>
                <w:rFonts w:ascii="Arial" w:hAnsi="Arial" w:cs="Arial"/>
                <w:sz w:val="18"/>
              </w:rPr>
            </w:pPr>
            <w:r w:rsidRPr="00D30BC1">
              <w:rPr>
                <w:rFonts w:ascii="Arial" w:hAnsi="Arial" w:cs="Arial"/>
                <w:sz w:val="18"/>
              </w:rPr>
              <w:t>2007 - 3.2</w:t>
            </w:r>
          </w:p>
        </w:tc>
        <w:tc>
          <w:tcPr>
            <w:tcW w:w="7202" w:type="dxa"/>
            <w:shd w:val="clear" w:color="auto" w:fill="auto"/>
            <w:tcMar>
              <w:top w:w="15" w:type="dxa"/>
              <w:left w:w="15" w:type="dxa"/>
              <w:bottom w:w="0" w:type="dxa"/>
              <w:right w:w="15" w:type="dxa"/>
            </w:tcMar>
          </w:tcPr>
          <w:p w14:paraId="12F27900" w14:textId="77777777" w:rsidR="00BF46B4" w:rsidRPr="00D30BC1" w:rsidRDefault="00BF46B4" w:rsidP="00D30BC1">
            <w:pPr>
              <w:spacing w:after="120"/>
              <w:rPr>
                <w:rFonts w:ascii="Arial" w:hAnsi="Arial" w:cs="Arial"/>
                <w:sz w:val="20"/>
              </w:rPr>
            </w:pPr>
            <w:r w:rsidRPr="00D30BC1">
              <w:rPr>
                <w:rFonts w:ascii="Arial" w:hAnsi="Arial" w:cs="Arial"/>
                <w:sz w:val="20"/>
              </w:rPr>
              <w:t xml:space="preserve">The quantity of petroleum product delivered at the custody transfer (reference point) with specifications and measurement conditions as defined in the sales contract and/or by regulatory authorities. All recoverable resources are estimated in terms of the product sales quantity measurements.  </w:t>
            </w:r>
          </w:p>
        </w:tc>
      </w:tr>
      <w:tr w:rsidR="00BF46B4" w:rsidRPr="00D30BC1" w14:paraId="78688324" w14:textId="77777777" w:rsidTr="00D30BC1">
        <w:trPr>
          <w:trHeight w:val="441"/>
        </w:trPr>
        <w:tc>
          <w:tcPr>
            <w:tcW w:w="1458" w:type="dxa"/>
            <w:gridSpan w:val="2"/>
            <w:shd w:val="clear" w:color="auto" w:fill="auto"/>
            <w:tcMar>
              <w:top w:w="15" w:type="dxa"/>
              <w:left w:w="15" w:type="dxa"/>
              <w:bottom w:w="0" w:type="dxa"/>
              <w:right w:w="15" w:type="dxa"/>
            </w:tcMar>
          </w:tcPr>
          <w:p w14:paraId="7C885C0A"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Shut-in Reserves</w:t>
            </w:r>
          </w:p>
        </w:tc>
        <w:tc>
          <w:tcPr>
            <w:tcW w:w="1062" w:type="dxa"/>
            <w:shd w:val="clear" w:color="auto" w:fill="auto"/>
          </w:tcPr>
          <w:p w14:paraId="163FEDA3"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2007 -2.1.3.2 and Table </w:t>
            </w:r>
            <w:r w:rsidR="00B00132" w:rsidRPr="00D30BC1">
              <w:rPr>
                <w:rFonts w:ascii="Arial" w:hAnsi="Arial" w:cs="Arial"/>
                <w:sz w:val="18"/>
                <w:szCs w:val="22"/>
              </w:rPr>
              <w:t>2</w:t>
            </w:r>
          </w:p>
        </w:tc>
        <w:tc>
          <w:tcPr>
            <w:tcW w:w="7202" w:type="dxa"/>
            <w:shd w:val="clear" w:color="auto" w:fill="auto"/>
            <w:tcMar>
              <w:top w:w="15" w:type="dxa"/>
              <w:left w:w="15" w:type="dxa"/>
              <w:bottom w:w="0" w:type="dxa"/>
              <w:right w:w="15" w:type="dxa"/>
            </w:tcMar>
          </w:tcPr>
          <w:p w14:paraId="2D8C3F63"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Shut-in Reserves are expected to be recovered from (1) completion intervals which are open at the time of the estimate, but which have not starte</w:t>
            </w:r>
            <w:r w:rsidR="00B00132" w:rsidRPr="00D30BC1">
              <w:rPr>
                <w:rFonts w:ascii="Arial" w:hAnsi="Arial" w:cs="Arial"/>
                <w:sz w:val="20"/>
                <w:szCs w:val="22"/>
              </w:rPr>
              <w:t>d producing;</w:t>
            </w:r>
            <w:r w:rsidRPr="00D30BC1">
              <w:rPr>
                <w:rFonts w:ascii="Arial" w:hAnsi="Arial" w:cs="Arial"/>
                <w:sz w:val="20"/>
                <w:szCs w:val="22"/>
              </w:rPr>
              <w:t xml:space="preserve"> (2) wells which were shut-in for market con</w:t>
            </w:r>
            <w:r w:rsidR="00B00132" w:rsidRPr="00D30BC1">
              <w:rPr>
                <w:rFonts w:ascii="Arial" w:hAnsi="Arial" w:cs="Arial"/>
                <w:sz w:val="20"/>
                <w:szCs w:val="22"/>
              </w:rPr>
              <w:t>ditions or pipeline connections;</w:t>
            </w:r>
            <w:r w:rsidRPr="00D30BC1">
              <w:rPr>
                <w:rFonts w:ascii="Arial" w:hAnsi="Arial" w:cs="Arial"/>
                <w:sz w:val="20"/>
                <w:szCs w:val="22"/>
              </w:rPr>
              <w:t xml:space="preserve"> or (3) wells not capable of production for mechanical reasons. </w:t>
            </w:r>
          </w:p>
        </w:tc>
      </w:tr>
      <w:tr w:rsidR="00BF46B4" w:rsidRPr="00D30BC1" w14:paraId="167BA0A7" w14:textId="77777777" w:rsidTr="00D30BC1">
        <w:trPr>
          <w:trHeight w:val="250"/>
        </w:trPr>
        <w:tc>
          <w:tcPr>
            <w:tcW w:w="1458" w:type="dxa"/>
            <w:gridSpan w:val="2"/>
            <w:shd w:val="clear" w:color="auto" w:fill="auto"/>
            <w:tcMar>
              <w:top w:w="15" w:type="dxa"/>
              <w:left w:w="15" w:type="dxa"/>
              <w:bottom w:w="0" w:type="dxa"/>
              <w:right w:w="15" w:type="dxa"/>
            </w:tcMar>
          </w:tcPr>
          <w:p w14:paraId="5C7BF589"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Solution Gas</w:t>
            </w:r>
          </w:p>
        </w:tc>
        <w:tc>
          <w:tcPr>
            <w:tcW w:w="1062" w:type="dxa"/>
            <w:shd w:val="clear" w:color="auto" w:fill="auto"/>
          </w:tcPr>
          <w:p w14:paraId="1A87738C"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59686F1D"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Solution Gas is a natural gas which is dissolved in crude oil in the reservoir at the prevailing reservoir conditions of pressure and temperature.  It is a subset of Associated Gas.</w:t>
            </w:r>
            <w:r w:rsidR="001D5FD0" w:rsidRPr="00D30BC1">
              <w:rPr>
                <w:rFonts w:ascii="Arial" w:eastAsia="Arial Unicode MS" w:hAnsi="Arial" w:cs="Arial"/>
                <w:sz w:val="20"/>
                <w:szCs w:val="22"/>
              </w:rPr>
              <w:t xml:space="preserve"> </w:t>
            </w:r>
          </w:p>
        </w:tc>
      </w:tr>
      <w:tr w:rsidR="00BF46B4" w:rsidRPr="00D30BC1" w14:paraId="76880C62" w14:textId="77777777" w:rsidTr="00D30BC1">
        <w:trPr>
          <w:trHeight w:val="441"/>
        </w:trPr>
        <w:tc>
          <w:tcPr>
            <w:tcW w:w="1458" w:type="dxa"/>
            <w:gridSpan w:val="2"/>
            <w:shd w:val="clear" w:color="auto" w:fill="auto"/>
            <w:tcMar>
              <w:top w:w="15" w:type="dxa"/>
              <w:left w:w="15" w:type="dxa"/>
              <w:bottom w:w="0" w:type="dxa"/>
              <w:right w:w="15" w:type="dxa"/>
            </w:tcMar>
          </w:tcPr>
          <w:p w14:paraId="1FCED679"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Sour Natural Gas</w:t>
            </w:r>
          </w:p>
        </w:tc>
        <w:tc>
          <w:tcPr>
            <w:tcW w:w="1062" w:type="dxa"/>
            <w:shd w:val="clear" w:color="auto" w:fill="auto"/>
          </w:tcPr>
          <w:p w14:paraId="5D06B573" w14:textId="77777777" w:rsidR="00BF46B4" w:rsidRPr="00D30BC1" w:rsidRDefault="00BF46B4" w:rsidP="00D30BC1">
            <w:pPr>
              <w:rPr>
                <w:rFonts w:ascii="Arial" w:hAnsi="Arial" w:cs="Arial"/>
                <w:sz w:val="18"/>
                <w:szCs w:val="22"/>
              </w:rPr>
            </w:pPr>
            <w:r w:rsidRPr="00D30BC1">
              <w:rPr>
                <w:rFonts w:ascii="Arial" w:hAnsi="Arial" w:cs="Arial"/>
                <w:sz w:val="18"/>
                <w:szCs w:val="22"/>
              </w:rPr>
              <w:t>2001 - 3.4</w:t>
            </w:r>
          </w:p>
        </w:tc>
        <w:tc>
          <w:tcPr>
            <w:tcW w:w="7202" w:type="dxa"/>
            <w:shd w:val="clear" w:color="auto" w:fill="auto"/>
            <w:tcMar>
              <w:top w:w="15" w:type="dxa"/>
              <w:left w:w="15" w:type="dxa"/>
              <w:bottom w:w="0" w:type="dxa"/>
              <w:right w:w="15" w:type="dxa"/>
            </w:tcMar>
          </w:tcPr>
          <w:p w14:paraId="656BE048"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Sour Natural Gas is a natural gas that contains sulfur, sulfur compounds</w:t>
            </w:r>
            <w:r w:rsidR="00B00132" w:rsidRPr="00D30BC1">
              <w:rPr>
                <w:rFonts w:ascii="Arial" w:hAnsi="Arial" w:cs="Arial"/>
                <w:sz w:val="20"/>
                <w:szCs w:val="22"/>
              </w:rPr>
              <w:t>,</w:t>
            </w:r>
            <w:r w:rsidRPr="00D30BC1">
              <w:rPr>
                <w:rFonts w:ascii="Arial" w:hAnsi="Arial" w:cs="Arial"/>
                <w:sz w:val="20"/>
                <w:szCs w:val="22"/>
              </w:rPr>
              <w:t xml:space="preserve"> and/or carbon dioxide in quantities that may require removal for sales or effective use.</w:t>
            </w:r>
          </w:p>
        </w:tc>
      </w:tr>
      <w:tr w:rsidR="00BF46B4" w:rsidRPr="00D30BC1" w14:paraId="494637FD" w14:textId="77777777" w:rsidTr="00D30BC1">
        <w:trPr>
          <w:trHeight w:val="591"/>
        </w:trPr>
        <w:tc>
          <w:tcPr>
            <w:tcW w:w="1458" w:type="dxa"/>
            <w:gridSpan w:val="2"/>
            <w:shd w:val="clear" w:color="auto" w:fill="auto"/>
            <w:tcMar>
              <w:top w:w="15" w:type="dxa"/>
              <w:left w:w="15" w:type="dxa"/>
              <w:bottom w:w="0" w:type="dxa"/>
              <w:right w:w="15" w:type="dxa"/>
            </w:tcMar>
          </w:tcPr>
          <w:p w14:paraId="5C5010D3"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Stochastic</w:t>
            </w:r>
          </w:p>
        </w:tc>
        <w:tc>
          <w:tcPr>
            <w:tcW w:w="1062" w:type="dxa"/>
            <w:shd w:val="clear" w:color="auto" w:fill="auto"/>
          </w:tcPr>
          <w:p w14:paraId="06A246FF" w14:textId="77777777" w:rsidR="00BF46B4" w:rsidRPr="00D30BC1" w:rsidRDefault="00BF46B4" w:rsidP="00D30BC1">
            <w:pPr>
              <w:rPr>
                <w:rFonts w:ascii="Arial" w:eastAsia="Arial Unicode MS" w:hAnsi="Arial" w:cs="Arial"/>
                <w:sz w:val="20"/>
                <w:szCs w:val="22"/>
              </w:rPr>
            </w:pPr>
            <w:r w:rsidRPr="00D30BC1">
              <w:rPr>
                <w:rFonts w:ascii="Arial" w:eastAsia="Arial Unicode MS" w:hAnsi="Arial" w:cs="Arial"/>
                <w:sz w:val="18"/>
                <w:szCs w:val="22"/>
              </w:rPr>
              <w:t>2001 - 5</w:t>
            </w:r>
          </w:p>
        </w:tc>
        <w:tc>
          <w:tcPr>
            <w:tcW w:w="7202" w:type="dxa"/>
            <w:shd w:val="clear" w:color="auto" w:fill="auto"/>
            <w:tcMar>
              <w:top w:w="15" w:type="dxa"/>
              <w:left w:w="15" w:type="dxa"/>
              <w:bottom w:w="0" w:type="dxa"/>
              <w:right w:w="15" w:type="dxa"/>
            </w:tcMar>
          </w:tcPr>
          <w:p w14:paraId="1A8A5E09"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Adjective defining a process involving or containing a random variable or variables or involving chance or probability such as a stochastic stimulation.</w:t>
            </w:r>
          </w:p>
        </w:tc>
      </w:tr>
      <w:tr w:rsidR="00BF46B4" w:rsidRPr="00D30BC1" w14:paraId="2069799D" w14:textId="77777777" w:rsidTr="00D30BC1">
        <w:trPr>
          <w:trHeight w:val="1470"/>
        </w:trPr>
        <w:tc>
          <w:tcPr>
            <w:tcW w:w="1458" w:type="dxa"/>
            <w:gridSpan w:val="2"/>
            <w:shd w:val="clear" w:color="auto" w:fill="auto"/>
            <w:tcMar>
              <w:top w:w="15" w:type="dxa"/>
              <w:left w:w="15" w:type="dxa"/>
              <w:bottom w:w="0" w:type="dxa"/>
              <w:right w:w="15" w:type="dxa"/>
            </w:tcMar>
          </w:tcPr>
          <w:p w14:paraId="25DED202"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Sub-Commercial</w:t>
            </w:r>
          </w:p>
        </w:tc>
        <w:tc>
          <w:tcPr>
            <w:tcW w:w="1062" w:type="dxa"/>
            <w:shd w:val="clear" w:color="auto" w:fill="auto"/>
          </w:tcPr>
          <w:p w14:paraId="702B5C2F" w14:textId="77777777" w:rsidR="00BF46B4" w:rsidRPr="00D30BC1" w:rsidRDefault="00BF46B4" w:rsidP="00D30BC1">
            <w:pPr>
              <w:rPr>
                <w:rFonts w:ascii="Arial" w:hAnsi="Arial" w:cs="Arial"/>
                <w:sz w:val="18"/>
                <w:szCs w:val="22"/>
              </w:rPr>
            </w:pPr>
            <w:r w:rsidRPr="00D30BC1">
              <w:rPr>
                <w:rFonts w:ascii="Arial" w:hAnsi="Arial" w:cs="Arial"/>
                <w:sz w:val="18"/>
                <w:szCs w:val="22"/>
              </w:rPr>
              <w:t>2007 - 2.1.2</w:t>
            </w:r>
          </w:p>
        </w:tc>
        <w:tc>
          <w:tcPr>
            <w:tcW w:w="7202" w:type="dxa"/>
            <w:shd w:val="clear" w:color="auto" w:fill="auto"/>
            <w:tcMar>
              <w:top w:w="15" w:type="dxa"/>
              <w:left w:w="15" w:type="dxa"/>
              <w:bottom w:w="0" w:type="dxa"/>
              <w:right w:w="15" w:type="dxa"/>
            </w:tcMar>
          </w:tcPr>
          <w:p w14:paraId="4A7C5F86"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rPr>
              <w:t>A project is Sub-</w:t>
            </w:r>
            <w:r w:rsidR="00B00132" w:rsidRPr="00D30BC1">
              <w:rPr>
                <w:rFonts w:ascii="Arial" w:hAnsi="Arial" w:cs="Arial"/>
                <w:sz w:val="20"/>
              </w:rPr>
              <w:t>C</w:t>
            </w:r>
            <w:r w:rsidRPr="00D30BC1">
              <w:rPr>
                <w:rFonts w:ascii="Arial" w:hAnsi="Arial" w:cs="Arial"/>
                <w:sz w:val="20"/>
              </w:rPr>
              <w:t xml:space="preserve">ommercial if the degree of commitment is such that the accumulation is not expected to be developed and placed on production within a reasonable time frame. </w:t>
            </w:r>
            <w:r w:rsidRPr="00D30BC1">
              <w:rPr>
                <w:rFonts w:ascii="Arial" w:eastAsia="Arial Unicode MS" w:hAnsi="Arial" w:cs="Arial"/>
                <w:iCs/>
                <w:sz w:val="20"/>
              </w:rPr>
              <w:t xml:space="preserve">While </w:t>
            </w:r>
            <w:r w:rsidR="00B00132" w:rsidRPr="00D30BC1">
              <w:rPr>
                <w:rFonts w:ascii="Arial" w:eastAsia="Arial Unicode MS" w:hAnsi="Arial" w:cs="Arial"/>
                <w:iCs/>
                <w:sz w:val="20"/>
              </w:rPr>
              <w:t>5</w:t>
            </w:r>
            <w:r w:rsidRPr="00D30BC1">
              <w:rPr>
                <w:rFonts w:ascii="Arial" w:eastAsia="Arial Unicode MS" w:hAnsi="Arial" w:cs="Arial"/>
                <w:iCs/>
                <w:sz w:val="20"/>
              </w:rPr>
              <w:t xml:space="preserve"> years is recommended as a benchmark, </w:t>
            </w:r>
            <w:r w:rsidRPr="00D30BC1">
              <w:rPr>
                <w:rFonts w:ascii="Arial" w:hAnsi="Arial" w:cs="Arial"/>
                <w:sz w:val="20"/>
              </w:rPr>
              <w:t xml:space="preserve">a longer time frame could be applied where, for example, development of economic projects are deferred at the option of the producer </w:t>
            </w:r>
            <w:r w:rsidRPr="00D30BC1">
              <w:rPr>
                <w:rFonts w:ascii="Arial" w:hAnsi="Arial" w:cs="Arial"/>
                <w:bCs/>
                <w:sz w:val="20"/>
              </w:rPr>
              <w:t xml:space="preserve">for, among other things, market-related reasons, or </w:t>
            </w:r>
            <w:r w:rsidRPr="00D30BC1">
              <w:rPr>
                <w:rFonts w:ascii="Arial" w:hAnsi="Arial" w:cs="Arial"/>
                <w:sz w:val="20"/>
              </w:rPr>
              <w:t>to meet contractual or strategic objectives.</w:t>
            </w:r>
            <w:r w:rsidR="00B00132" w:rsidRPr="00D30BC1">
              <w:rPr>
                <w:rFonts w:ascii="Arial" w:hAnsi="Arial" w:cs="Arial"/>
                <w:sz w:val="20"/>
              </w:rPr>
              <w:t xml:space="preserve"> </w:t>
            </w:r>
            <w:r w:rsidRPr="00D30BC1">
              <w:rPr>
                <w:rFonts w:ascii="Arial" w:hAnsi="Arial" w:cs="Arial"/>
                <w:sz w:val="20"/>
                <w:szCs w:val="22"/>
              </w:rPr>
              <w:t xml:space="preserve">Discovered sub-commercial projects are classified as Contingent Resources. </w:t>
            </w:r>
          </w:p>
        </w:tc>
      </w:tr>
      <w:tr w:rsidR="00BF46B4" w:rsidRPr="00D30BC1" w14:paraId="3A115B22" w14:textId="77777777" w:rsidTr="00D30BC1">
        <w:trPr>
          <w:trHeight w:val="591"/>
        </w:trPr>
        <w:tc>
          <w:tcPr>
            <w:tcW w:w="1458" w:type="dxa"/>
            <w:gridSpan w:val="2"/>
            <w:shd w:val="clear" w:color="auto" w:fill="auto"/>
            <w:tcMar>
              <w:top w:w="15" w:type="dxa"/>
              <w:left w:w="15" w:type="dxa"/>
              <w:bottom w:w="0" w:type="dxa"/>
              <w:right w:w="15" w:type="dxa"/>
            </w:tcMar>
          </w:tcPr>
          <w:p w14:paraId="096B3F06" w14:textId="77777777" w:rsidR="00BF46B4" w:rsidRPr="00D30BC1" w:rsidRDefault="00B00132" w:rsidP="00D30BC1">
            <w:pPr>
              <w:rPr>
                <w:rFonts w:ascii="Arial" w:hAnsi="Arial" w:cs="Arial"/>
                <w:sz w:val="20"/>
                <w:szCs w:val="22"/>
              </w:rPr>
            </w:pPr>
            <w:r w:rsidRPr="00D30BC1">
              <w:rPr>
                <w:rFonts w:ascii="Arial" w:hAnsi="Arial" w:cs="Arial"/>
                <w:sz w:val="20"/>
                <w:szCs w:val="22"/>
              </w:rPr>
              <w:t>Sub-M</w:t>
            </w:r>
            <w:r w:rsidR="00BF46B4" w:rsidRPr="00D30BC1">
              <w:rPr>
                <w:rFonts w:ascii="Arial" w:hAnsi="Arial" w:cs="Arial"/>
                <w:sz w:val="20"/>
                <w:szCs w:val="22"/>
              </w:rPr>
              <w:t>arginal Contingent Resources</w:t>
            </w:r>
          </w:p>
        </w:tc>
        <w:tc>
          <w:tcPr>
            <w:tcW w:w="1062" w:type="dxa"/>
            <w:shd w:val="clear" w:color="auto" w:fill="auto"/>
          </w:tcPr>
          <w:p w14:paraId="725D8B7D" w14:textId="77777777" w:rsidR="00BF46B4" w:rsidRPr="00D30BC1" w:rsidRDefault="00BF46B4" w:rsidP="00D30BC1">
            <w:pPr>
              <w:rPr>
                <w:rFonts w:ascii="Arial" w:hAnsi="Arial" w:cs="Arial"/>
                <w:sz w:val="18"/>
                <w:szCs w:val="22"/>
              </w:rPr>
            </w:pPr>
            <w:r w:rsidRPr="00D30BC1">
              <w:rPr>
                <w:rFonts w:ascii="Arial" w:hAnsi="Arial" w:cs="Arial"/>
                <w:sz w:val="18"/>
                <w:szCs w:val="22"/>
              </w:rPr>
              <w:t>2007 -2.1.3.3</w:t>
            </w:r>
          </w:p>
        </w:tc>
        <w:tc>
          <w:tcPr>
            <w:tcW w:w="7202" w:type="dxa"/>
            <w:shd w:val="clear" w:color="auto" w:fill="auto"/>
            <w:tcMar>
              <w:top w:w="15" w:type="dxa"/>
              <w:left w:w="15" w:type="dxa"/>
              <w:bottom w:w="0" w:type="dxa"/>
              <w:right w:w="15" w:type="dxa"/>
            </w:tcMar>
          </w:tcPr>
          <w:p w14:paraId="09BD311A"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Known (discovered) accumulations for which evaluation of development project(s) indicated they would not meet economic criteria, even considering reasonably expected improvements in conditions.</w:t>
            </w:r>
          </w:p>
        </w:tc>
      </w:tr>
      <w:tr w:rsidR="00BF46B4" w:rsidRPr="00D30BC1" w14:paraId="2191533D" w14:textId="77777777" w:rsidTr="00D30BC1">
        <w:trPr>
          <w:trHeight w:val="874"/>
        </w:trPr>
        <w:tc>
          <w:tcPr>
            <w:tcW w:w="1440" w:type="dxa"/>
            <w:shd w:val="clear" w:color="auto" w:fill="auto"/>
            <w:tcMar>
              <w:top w:w="15" w:type="dxa"/>
              <w:left w:w="15" w:type="dxa"/>
              <w:bottom w:w="0" w:type="dxa"/>
              <w:right w:w="15" w:type="dxa"/>
            </w:tcMar>
          </w:tcPr>
          <w:p w14:paraId="46E1F307"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Sweet Natural Gas</w:t>
            </w:r>
          </w:p>
        </w:tc>
        <w:tc>
          <w:tcPr>
            <w:tcW w:w="1080" w:type="dxa"/>
            <w:gridSpan w:val="2"/>
            <w:shd w:val="clear" w:color="auto" w:fill="auto"/>
          </w:tcPr>
          <w:p w14:paraId="65353EEA" w14:textId="77777777" w:rsidR="00BF46B4" w:rsidRPr="00D30BC1" w:rsidRDefault="00BF46B4" w:rsidP="00D30BC1">
            <w:pPr>
              <w:rPr>
                <w:rFonts w:ascii="Arial" w:hAnsi="Arial" w:cs="Arial"/>
                <w:sz w:val="18"/>
                <w:szCs w:val="22"/>
              </w:rPr>
            </w:pPr>
            <w:r w:rsidRPr="00D30BC1">
              <w:rPr>
                <w:rFonts w:ascii="Arial" w:hAnsi="Arial" w:cs="Arial"/>
                <w:sz w:val="18"/>
                <w:szCs w:val="22"/>
              </w:rPr>
              <w:t>2001 - 3.3</w:t>
            </w:r>
          </w:p>
        </w:tc>
        <w:tc>
          <w:tcPr>
            <w:tcW w:w="7202" w:type="dxa"/>
            <w:shd w:val="clear" w:color="auto" w:fill="auto"/>
            <w:tcMar>
              <w:top w:w="15" w:type="dxa"/>
              <w:left w:w="15" w:type="dxa"/>
              <w:bottom w:w="0" w:type="dxa"/>
              <w:right w:w="15" w:type="dxa"/>
            </w:tcMar>
          </w:tcPr>
          <w:p w14:paraId="46BB7C03"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Sweet Natural Gas is a natural gas that contains no sulfur or sulfur compounds at all, or in such small quantities that no processing is necessary for their removal in order that the gas may be sold.</w:t>
            </w:r>
          </w:p>
        </w:tc>
      </w:tr>
      <w:tr w:rsidR="00BF46B4" w:rsidRPr="00D30BC1" w14:paraId="0FA23474" w14:textId="77777777">
        <w:trPr>
          <w:trHeight w:val="1087"/>
        </w:trPr>
        <w:tc>
          <w:tcPr>
            <w:tcW w:w="1440" w:type="dxa"/>
            <w:tcMar>
              <w:top w:w="15" w:type="dxa"/>
              <w:left w:w="15" w:type="dxa"/>
              <w:bottom w:w="0" w:type="dxa"/>
              <w:right w:w="15" w:type="dxa"/>
            </w:tcMar>
          </w:tcPr>
          <w:p w14:paraId="5F32FDF6" w14:textId="77777777" w:rsidR="00BF46B4" w:rsidRPr="00D30BC1" w:rsidRDefault="00BF46B4" w:rsidP="00D30BC1">
            <w:pPr>
              <w:rPr>
                <w:rFonts w:ascii="Arial" w:hAnsi="Arial" w:cs="Arial"/>
                <w:sz w:val="20"/>
                <w:szCs w:val="22"/>
              </w:rPr>
            </w:pPr>
            <w:r w:rsidRPr="00D30BC1">
              <w:rPr>
                <w:rFonts w:ascii="Arial" w:hAnsi="Arial" w:cs="Arial"/>
                <w:sz w:val="20"/>
                <w:szCs w:val="22"/>
              </w:rPr>
              <w:t>Synthetic Crude Oil</w:t>
            </w:r>
          </w:p>
          <w:p w14:paraId="4245A60D" w14:textId="77777777" w:rsidR="00BF46B4" w:rsidRPr="00D30BC1" w:rsidRDefault="00BF46B4" w:rsidP="00D30BC1">
            <w:pPr>
              <w:rPr>
                <w:rFonts w:ascii="Arial" w:hAnsi="Arial" w:cs="Arial"/>
                <w:sz w:val="20"/>
                <w:szCs w:val="22"/>
              </w:rPr>
            </w:pPr>
            <w:r w:rsidRPr="00D30BC1">
              <w:rPr>
                <w:rFonts w:ascii="Arial" w:hAnsi="Arial" w:cs="Arial"/>
                <w:sz w:val="20"/>
                <w:szCs w:val="22"/>
              </w:rPr>
              <w:t>(SCO)</w:t>
            </w:r>
          </w:p>
        </w:tc>
        <w:tc>
          <w:tcPr>
            <w:tcW w:w="1080" w:type="dxa"/>
            <w:gridSpan w:val="2"/>
          </w:tcPr>
          <w:p w14:paraId="050018D8" w14:textId="77777777" w:rsidR="00BF46B4" w:rsidRPr="00D30BC1" w:rsidRDefault="00BF46B4" w:rsidP="00D30BC1">
            <w:pPr>
              <w:rPr>
                <w:rFonts w:ascii="Arial" w:hAnsi="Arial" w:cs="Arial"/>
                <w:sz w:val="18"/>
                <w:szCs w:val="22"/>
              </w:rPr>
            </w:pPr>
            <w:r w:rsidRPr="00D30BC1">
              <w:rPr>
                <w:rFonts w:ascii="Arial" w:hAnsi="Arial" w:cs="Arial"/>
                <w:sz w:val="18"/>
                <w:szCs w:val="22"/>
              </w:rPr>
              <w:t>2001 - A12, A13</w:t>
            </w:r>
          </w:p>
        </w:tc>
        <w:tc>
          <w:tcPr>
            <w:tcW w:w="7202" w:type="dxa"/>
            <w:tcMar>
              <w:top w:w="15" w:type="dxa"/>
              <w:left w:w="15" w:type="dxa"/>
              <w:bottom w:w="0" w:type="dxa"/>
              <w:right w:w="15" w:type="dxa"/>
            </w:tcMar>
          </w:tcPr>
          <w:p w14:paraId="6FC5BAF5"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A mixture of hydrocarbons derived by upgrading (i.e., chemically altering) natural bitumen from oil sands, kerogen from oil shales, or processing of other substances such as natural gas or coal.  SCO may contain sulfur or other non-hydrocarbon compounds and has many similarities to crude oil.</w:t>
            </w:r>
          </w:p>
        </w:tc>
      </w:tr>
      <w:tr w:rsidR="00BF46B4" w:rsidRPr="00D30BC1" w14:paraId="42F5FD29" w14:textId="77777777">
        <w:trPr>
          <w:trHeight w:val="655"/>
        </w:trPr>
        <w:tc>
          <w:tcPr>
            <w:tcW w:w="1440" w:type="dxa"/>
            <w:tcMar>
              <w:top w:w="15" w:type="dxa"/>
              <w:left w:w="15" w:type="dxa"/>
              <w:bottom w:w="0" w:type="dxa"/>
              <w:right w:w="15" w:type="dxa"/>
            </w:tcMar>
          </w:tcPr>
          <w:p w14:paraId="5CC30BE6"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Taxes</w:t>
            </w:r>
          </w:p>
        </w:tc>
        <w:tc>
          <w:tcPr>
            <w:tcW w:w="1080" w:type="dxa"/>
            <w:gridSpan w:val="2"/>
          </w:tcPr>
          <w:p w14:paraId="41AC5484" w14:textId="77777777" w:rsidR="00BF46B4" w:rsidRPr="00D30BC1" w:rsidRDefault="00BF46B4" w:rsidP="00D30BC1">
            <w:pPr>
              <w:spacing w:after="240"/>
              <w:rPr>
                <w:rFonts w:ascii="Arial" w:eastAsia="Arial Unicode MS" w:hAnsi="Arial" w:cs="Arial"/>
                <w:sz w:val="18"/>
                <w:szCs w:val="22"/>
              </w:rPr>
            </w:pPr>
            <w:r w:rsidRPr="00D30BC1">
              <w:rPr>
                <w:rFonts w:ascii="Arial" w:eastAsia="Arial Unicode MS" w:hAnsi="Arial" w:cs="Arial"/>
                <w:sz w:val="18"/>
                <w:szCs w:val="22"/>
              </w:rPr>
              <w:t>2001 - 9.4.2</w:t>
            </w:r>
          </w:p>
        </w:tc>
        <w:tc>
          <w:tcPr>
            <w:tcW w:w="7202" w:type="dxa"/>
            <w:tcMar>
              <w:top w:w="15" w:type="dxa"/>
              <w:left w:w="15" w:type="dxa"/>
              <w:bottom w:w="0" w:type="dxa"/>
              <w:right w:w="15" w:type="dxa"/>
            </w:tcMar>
          </w:tcPr>
          <w:p w14:paraId="0B331D41"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Obligatory contributions to the public funds, levied on persons, property, or income by governmental authority.</w:t>
            </w:r>
          </w:p>
        </w:tc>
      </w:tr>
      <w:tr w:rsidR="00BF46B4" w:rsidRPr="00D30BC1" w14:paraId="48ECFA58" w14:textId="77777777">
        <w:trPr>
          <w:trHeight w:val="885"/>
        </w:trPr>
        <w:tc>
          <w:tcPr>
            <w:tcW w:w="1440" w:type="dxa"/>
            <w:tcMar>
              <w:top w:w="15" w:type="dxa"/>
              <w:left w:w="15" w:type="dxa"/>
              <w:bottom w:w="0" w:type="dxa"/>
              <w:right w:w="15" w:type="dxa"/>
            </w:tcMar>
          </w:tcPr>
          <w:p w14:paraId="71FDF0B9" w14:textId="77777777" w:rsidR="00BF46B4" w:rsidRPr="00D30BC1" w:rsidRDefault="00BF46B4" w:rsidP="00D30BC1">
            <w:pPr>
              <w:rPr>
                <w:rFonts w:ascii="Arial" w:hAnsi="Arial" w:cs="Arial"/>
                <w:sz w:val="20"/>
                <w:szCs w:val="22"/>
              </w:rPr>
            </w:pPr>
            <w:r w:rsidRPr="00D30BC1">
              <w:rPr>
                <w:rFonts w:ascii="Arial" w:hAnsi="Arial" w:cs="Arial"/>
                <w:sz w:val="20"/>
                <w:szCs w:val="22"/>
              </w:rPr>
              <w:t>Technical Uncertainty</w:t>
            </w:r>
          </w:p>
        </w:tc>
        <w:tc>
          <w:tcPr>
            <w:tcW w:w="1080" w:type="dxa"/>
            <w:gridSpan w:val="2"/>
          </w:tcPr>
          <w:p w14:paraId="3608D973" w14:textId="77777777" w:rsidR="00BF46B4" w:rsidRPr="00D30BC1" w:rsidRDefault="00BF46B4" w:rsidP="00D30BC1">
            <w:pPr>
              <w:rPr>
                <w:rFonts w:ascii="Arial" w:hAnsi="Arial" w:cs="Arial"/>
                <w:sz w:val="18"/>
                <w:szCs w:val="22"/>
              </w:rPr>
            </w:pPr>
            <w:r w:rsidRPr="00D30BC1">
              <w:rPr>
                <w:rFonts w:ascii="Arial" w:hAnsi="Arial" w:cs="Arial"/>
                <w:sz w:val="18"/>
                <w:szCs w:val="22"/>
              </w:rPr>
              <w:t>2007 - 2.2</w:t>
            </w:r>
          </w:p>
        </w:tc>
        <w:tc>
          <w:tcPr>
            <w:tcW w:w="7202" w:type="dxa"/>
            <w:tcMar>
              <w:top w:w="15" w:type="dxa"/>
              <w:left w:w="15" w:type="dxa"/>
              <w:bottom w:w="0" w:type="dxa"/>
              <w:right w:w="15" w:type="dxa"/>
            </w:tcMar>
          </w:tcPr>
          <w:p w14:paraId="0C8AEE84" w14:textId="77777777" w:rsidR="00BF46B4" w:rsidRPr="00D30BC1" w:rsidRDefault="00BF46B4" w:rsidP="00D30BC1">
            <w:pPr>
              <w:spacing w:after="120"/>
              <w:rPr>
                <w:rFonts w:ascii="Arial" w:hAnsi="Arial" w:cs="Arial"/>
                <w:sz w:val="20"/>
                <w:szCs w:val="22"/>
              </w:rPr>
            </w:pPr>
            <w:r w:rsidRPr="00D30BC1">
              <w:rPr>
                <w:rFonts w:ascii="Arial" w:hAnsi="Arial" w:cs="Arial"/>
                <w:sz w:val="20"/>
                <w:szCs w:val="22"/>
              </w:rPr>
              <w:t>Indication of the varying degrees of uncertainty in estimates of recoverable quantities influenced by range of potential in-place hydrocarbon resources within the reservoir and the range of the recovery efficiency of the recovery project being applied.</w:t>
            </w:r>
          </w:p>
        </w:tc>
      </w:tr>
      <w:tr w:rsidR="00BF46B4" w:rsidRPr="00D30BC1" w14:paraId="486CC86A" w14:textId="77777777">
        <w:trPr>
          <w:trHeight w:val="1220"/>
        </w:trPr>
        <w:tc>
          <w:tcPr>
            <w:tcW w:w="1440" w:type="dxa"/>
            <w:tcMar>
              <w:top w:w="15" w:type="dxa"/>
              <w:left w:w="15" w:type="dxa"/>
              <w:bottom w:w="0" w:type="dxa"/>
              <w:right w:w="15" w:type="dxa"/>
            </w:tcMar>
          </w:tcPr>
          <w:p w14:paraId="464CEB3E"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Total Petroleum Initially-in-Place</w:t>
            </w:r>
          </w:p>
        </w:tc>
        <w:tc>
          <w:tcPr>
            <w:tcW w:w="1080" w:type="dxa"/>
            <w:gridSpan w:val="2"/>
          </w:tcPr>
          <w:p w14:paraId="0FE98B3C" w14:textId="77777777" w:rsidR="00BF46B4" w:rsidRPr="00D30BC1" w:rsidRDefault="00BF46B4" w:rsidP="00D30BC1">
            <w:pPr>
              <w:rPr>
                <w:rFonts w:ascii="Arial" w:hAnsi="Arial" w:cs="Arial"/>
                <w:sz w:val="18"/>
                <w:szCs w:val="22"/>
              </w:rPr>
            </w:pPr>
            <w:r w:rsidRPr="00D30BC1">
              <w:rPr>
                <w:rFonts w:ascii="Arial" w:hAnsi="Arial" w:cs="Arial"/>
                <w:sz w:val="18"/>
                <w:szCs w:val="22"/>
              </w:rPr>
              <w:t>2007 - 1.1</w:t>
            </w:r>
          </w:p>
        </w:tc>
        <w:tc>
          <w:tcPr>
            <w:tcW w:w="7202" w:type="dxa"/>
            <w:tcMar>
              <w:top w:w="15" w:type="dxa"/>
              <w:left w:w="15" w:type="dxa"/>
              <w:bottom w:w="0" w:type="dxa"/>
              <w:right w:w="15" w:type="dxa"/>
            </w:tcMar>
          </w:tcPr>
          <w:p w14:paraId="0D8F2AE2"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Total Petroleum Initially-in-Place is generally accepted to be all those estimated quantities of petroleum contained in the subsurface, as well as those quantities already produced. This was defined previously by the WPC as </w:t>
            </w:r>
            <w:r w:rsidR="00C30824" w:rsidRPr="00D30BC1">
              <w:rPr>
                <w:rFonts w:cs="Arial"/>
                <w:sz w:val="18"/>
                <w:szCs w:val="22"/>
              </w:rPr>
              <w:t>“</w:t>
            </w:r>
            <w:r w:rsidRPr="00D30BC1">
              <w:rPr>
                <w:rFonts w:ascii="Arial" w:hAnsi="Arial" w:cs="Arial"/>
                <w:sz w:val="20"/>
                <w:szCs w:val="22"/>
              </w:rPr>
              <w:t>Petroleum-in-place</w:t>
            </w:r>
            <w:r w:rsidR="00C30824" w:rsidRPr="00D30BC1">
              <w:rPr>
                <w:rFonts w:cs="Arial"/>
                <w:sz w:val="18"/>
                <w:szCs w:val="22"/>
              </w:rPr>
              <w:t>”</w:t>
            </w:r>
            <w:r w:rsidRPr="00D30BC1">
              <w:rPr>
                <w:rFonts w:ascii="Arial" w:hAnsi="Arial" w:cs="Arial"/>
                <w:sz w:val="20"/>
                <w:szCs w:val="22"/>
              </w:rPr>
              <w:t xml:space="preserve"> and has been termed </w:t>
            </w:r>
            <w:r w:rsidR="00C30824" w:rsidRPr="00D30BC1">
              <w:rPr>
                <w:rFonts w:cs="Arial"/>
                <w:sz w:val="18"/>
                <w:szCs w:val="22"/>
              </w:rPr>
              <w:t>“</w:t>
            </w:r>
            <w:r w:rsidRPr="00D30BC1">
              <w:rPr>
                <w:rFonts w:ascii="Arial" w:hAnsi="Arial" w:cs="Arial"/>
                <w:sz w:val="20"/>
                <w:szCs w:val="22"/>
              </w:rPr>
              <w:t>Resource Base</w:t>
            </w:r>
            <w:r w:rsidR="00C30824" w:rsidRPr="00D30BC1">
              <w:rPr>
                <w:rFonts w:cs="Arial"/>
                <w:sz w:val="18"/>
                <w:szCs w:val="22"/>
              </w:rPr>
              <w:t>”</w:t>
            </w:r>
            <w:r w:rsidRPr="00D30BC1">
              <w:rPr>
                <w:rFonts w:ascii="Arial" w:hAnsi="Arial" w:cs="Arial"/>
                <w:sz w:val="20"/>
                <w:szCs w:val="22"/>
              </w:rPr>
              <w:t xml:space="preserve"> by others.  Also termed </w:t>
            </w:r>
            <w:r w:rsidR="00C30824" w:rsidRPr="00D30BC1">
              <w:rPr>
                <w:rFonts w:cs="Arial"/>
                <w:sz w:val="18"/>
                <w:szCs w:val="22"/>
              </w:rPr>
              <w:t>“</w:t>
            </w:r>
            <w:r w:rsidRPr="00D30BC1">
              <w:rPr>
                <w:rFonts w:ascii="Arial" w:hAnsi="Arial" w:cs="Arial"/>
                <w:sz w:val="20"/>
                <w:szCs w:val="22"/>
              </w:rPr>
              <w:t>Original-in-Place</w:t>
            </w:r>
            <w:r w:rsidR="00C30824" w:rsidRPr="00D30BC1">
              <w:rPr>
                <w:rFonts w:cs="Arial"/>
                <w:sz w:val="18"/>
                <w:szCs w:val="22"/>
              </w:rPr>
              <w:t>”</w:t>
            </w:r>
            <w:r w:rsidRPr="00D30BC1">
              <w:rPr>
                <w:rFonts w:ascii="Arial" w:hAnsi="Arial" w:cs="Arial"/>
                <w:sz w:val="20"/>
                <w:szCs w:val="22"/>
              </w:rPr>
              <w:t xml:space="preserve"> or </w:t>
            </w:r>
            <w:r w:rsidR="00C30824" w:rsidRPr="00D30BC1">
              <w:rPr>
                <w:rFonts w:cs="Arial"/>
                <w:sz w:val="18"/>
                <w:szCs w:val="22"/>
              </w:rPr>
              <w:t>“</w:t>
            </w:r>
            <w:r w:rsidRPr="00D30BC1">
              <w:rPr>
                <w:rFonts w:ascii="Arial" w:hAnsi="Arial" w:cs="Arial"/>
                <w:sz w:val="20"/>
                <w:szCs w:val="22"/>
              </w:rPr>
              <w:t>Hydrocarbon Endowment</w:t>
            </w:r>
            <w:r w:rsidR="00B44045" w:rsidRPr="00D30BC1">
              <w:rPr>
                <w:rFonts w:ascii="Arial" w:hAnsi="Arial" w:cs="Arial"/>
                <w:sz w:val="20"/>
                <w:szCs w:val="22"/>
              </w:rPr>
              <w:t>.</w:t>
            </w:r>
            <w:r w:rsidR="00C30824" w:rsidRPr="00D30BC1">
              <w:rPr>
                <w:rFonts w:cs="Arial"/>
                <w:sz w:val="18"/>
                <w:szCs w:val="22"/>
              </w:rPr>
              <w:t>”</w:t>
            </w:r>
          </w:p>
        </w:tc>
      </w:tr>
      <w:tr w:rsidR="00BF46B4" w:rsidRPr="00D30BC1" w14:paraId="148F93F7" w14:textId="77777777">
        <w:trPr>
          <w:trHeight w:val="534"/>
        </w:trPr>
        <w:tc>
          <w:tcPr>
            <w:tcW w:w="1440" w:type="dxa"/>
            <w:tcMar>
              <w:top w:w="15" w:type="dxa"/>
              <w:left w:w="15" w:type="dxa"/>
              <w:bottom w:w="0" w:type="dxa"/>
              <w:right w:w="15" w:type="dxa"/>
            </w:tcMar>
          </w:tcPr>
          <w:p w14:paraId="105159B6" w14:textId="77777777" w:rsidR="00BF46B4" w:rsidRPr="00D30BC1" w:rsidRDefault="00BF46B4" w:rsidP="00D30BC1">
            <w:pPr>
              <w:rPr>
                <w:rFonts w:ascii="Arial" w:hAnsi="Arial" w:cs="Arial"/>
                <w:sz w:val="20"/>
                <w:szCs w:val="22"/>
              </w:rPr>
            </w:pPr>
            <w:r w:rsidRPr="00D30BC1">
              <w:rPr>
                <w:rFonts w:ascii="Arial" w:hAnsi="Arial" w:cs="Arial"/>
                <w:sz w:val="20"/>
                <w:szCs w:val="22"/>
              </w:rPr>
              <w:t>Uncertainty</w:t>
            </w:r>
          </w:p>
        </w:tc>
        <w:tc>
          <w:tcPr>
            <w:tcW w:w="1080" w:type="dxa"/>
            <w:gridSpan w:val="2"/>
          </w:tcPr>
          <w:p w14:paraId="1BEB4E5F"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2007 - 2.2</w:t>
            </w:r>
          </w:p>
          <w:p w14:paraId="2D2A4F48"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2001 - 2.5</w:t>
            </w:r>
          </w:p>
        </w:tc>
        <w:tc>
          <w:tcPr>
            <w:tcW w:w="7202" w:type="dxa"/>
            <w:tcMar>
              <w:top w:w="15" w:type="dxa"/>
              <w:left w:w="15" w:type="dxa"/>
              <w:bottom w:w="0" w:type="dxa"/>
              <w:right w:w="15" w:type="dxa"/>
            </w:tcMar>
          </w:tcPr>
          <w:p w14:paraId="4B303C8C" w14:textId="77777777" w:rsidR="00BF46B4" w:rsidRPr="00D30BC1" w:rsidRDefault="00BF46B4" w:rsidP="00D30BC1">
            <w:pPr>
              <w:pStyle w:val="CommentText"/>
              <w:spacing w:after="120"/>
              <w:rPr>
                <w:rFonts w:ascii="Arial" w:eastAsia="Arial Unicode MS" w:hAnsi="Arial" w:cs="Arial"/>
                <w:szCs w:val="22"/>
              </w:rPr>
            </w:pPr>
            <w:r w:rsidRPr="00D30BC1">
              <w:rPr>
                <w:rFonts w:ascii="Arial" w:eastAsia="Arial Unicode MS" w:hAnsi="Arial" w:cs="Arial"/>
                <w:szCs w:val="22"/>
              </w:rPr>
              <w:t xml:space="preserve">The range of possible outcomes in a series of estimates. For recoverable resource assessments, the range of uncertainty reflects a reasonable range of estimated potentially recoverable quantities for an individual accumulation </w:t>
            </w:r>
            <w:r w:rsidR="00B44045" w:rsidRPr="00D30BC1">
              <w:rPr>
                <w:rFonts w:ascii="Arial" w:eastAsia="Arial Unicode MS" w:hAnsi="Arial" w:cs="Arial"/>
                <w:szCs w:val="22"/>
              </w:rPr>
              <w:t>or a project. (S</w:t>
            </w:r>
            <w:r w:rsidRPr="00D30BC1">
              <w:rPr>
                <w:rFonts w:ascii="Arial" w:eastAsia="Arial Unicode MS" w:hAnsi="Arial" w:cs="Arial"/>
                <w:szCs w:val="22"/>
              </w:rPr>
              <w:t>ee also Probability</w:t>
            </w:r>
            <w:r w:rsidR="00B44045" w:rsidRPr="00D30BC1">
              <w:rPr>
                <w:rFonts w:ascii="Arial" w:eastAsia="Arial Unicode MS" w:hAnsi="Arial" w:cs="Arial"/>
                <w:szCs w:val="22"/>
              </w:rPr>
              <w:t>.</w:t>
            </w:r>
            <w:r w:rsidRPr="00D30BC1">
              <w:rPr>
                <w:rFonts w:ascii="Arial" w:eastAsia="Arial Unicode MS" w:hAnsi="Arial" w:cs="Arial"/>
                <w:szCs w:val="22"/>
              </w:rPr>
              <w:t>)</w:t>
            </w:r>
            <w:r w:rsidR="00A57AC7" w:rsidRPr="00D30BC1">
              <w:rPr>
                <w:rFonts w:ascii="Arial" w:eastAsia="Arial Unicode MS" w:hAnsi="Arial" w:cs="Arial"/>
                <w:szCs w:val="22"/>
              </w:rPr>
              <w:t xml:space="preserve"> </w:t>
            </w:r>
          </w:p>
        </w:tc>
      </w:tr>
      <w:tr w:rsidR="00BF46B4" w:rsidRPr="00D30BC1" w14:paraId="044F811C" w14:textId="77777777" w:rsidTr="00D30BC1">
        <w:trPr>
          <w:trHeight w:val="1406"/>
        </w:trPr>
        <w:tc>
          <w:tcPr>
            <w:tcW w:w="1440" w:type="dxa"/>
            <w:tcBorders>
              <w:bottom w:val="single" w:sz="4" w:space="0" w:color="auto"/>
            </w:tcBorders>
            <w:tcMar>
              <w:top w:w="15" w:type="dxa"/>
              <w:left w:w="15" w:type="dxa"/>
              <w:bottom w:w="0" w:type="dxa"/>
              <w:right w:w="15" w:type="dxa"/>
            </w:tcMar>
          </w:tcPr>
          <w:p w14:paraId="632C1AAF" w14:textId="77777777" w:rsidR="00BF46B4" w:rsidRPr="00D30BC1" w:rsidRDefault="00BF46B4" w:rsidP="00D30BC1">
            <w:pPr>
              <w:rPr>
                <w:rFonts w:ascii="Arial" w:hAnsi="Arial" w:cs="Arial"/>
                <w:sz w:val="20"/>
                <w:szCs w:val="22"/>
              </w:rPr>
            </w:pPr>
            <w:r w:rsidRPr="00D30BC1">
              <w:rPr>
                <w:rFonts w:ascii="Arial" w:hAnsi="Arial" w:cs="Arial"/>
                <w:sz w:val="20"/>
                <w:szCs w:val="22"/>
              </w:rPr>
              <w:t>Unconventional Resources</w:t>
            </w:r>
          </w:p>
        </w:tc>
        <w:tc>
          <w:tcPr>
            <w:tcW w:w="1080" w:type="dxa"/>
            <w:gridSpan w:val="2"/>
            <w:tcBorders>
              <w:bottom w:val="single" w:sz="4" w:space="0" w:color="auto"/>
            </w:tcBorders>
          </w:tcPr>
          <w:p w14:paraId="2E088F01" w14:textId="77777777" w:rsidR="00BF46B4" w:rsidRPr="00D30BC1" w:rsidRDefault="00BF46B4" w:rsidP="00D30BC1">
            <w:pPr>
              <w:pStyle w:val="BodyText"/>
              <w:rPr>
                <w:sz w:val="18"/>
              </w:rPr>
            </w:pPr>
            <w:r w:rsidRPr="00D30BC1">
              <w:rPr>
                <w:sz w:val="18"/>
              </w:rPr>
              <w:t xml:space="preserve">2007 - 2.4, </w:t>
            </w:r>
          </w:p>
        </w:tc>
        <w:tc>
          <w:tcPr>
            <w:tcW w:w="7202" w:type="dxa"/>
            <w:tcBorders>
              <w:bottom w:val="single" w:sz="4" w:space="0" w:color="auto"/>
            </w:tcBorders>
            <w:tcMar>
              <w:top w:w="15" w:type="dxa"/>
              <w:left w:w="15" w:type="dxa"/>
              <w:bottom w:w="0" w:type="dxa"/>
              <w:right w:w="15" w:type="dxa"/>
            </w:tcMar>
          </w:tcPr>
          <w:p w14:paraId="1962F4A1" w14:textId="77777777" w:rsidR="00BF46B4" w:rsidRPr="00D30BC1" w:rsidRDefault="00BF46B4" w:rsidP="00D30BC1">
            <w:pPr>
              <w:pStyle w:val="CommentText"/>
              <w:spacing w:after="120"/>
              <w:rPr>
                <w:rFonts w:ascii="Arial" w:hAnsi="Arial" w:cs="Arial"/>
              </w:rPr>
            </w:pPr>
            <w:r w:rsidRPr="00D30BC1">
              <w:rPr>
                <w:rFonts w:ascii="Arial" w:hAnsi="Arial" w:cs="Arial"/>
              </w:rPr>
              <w:t xml:space="preserve">Unconventional resources exist in petroleum accumulations that are pervasive throughout a large area and that are not significantly affected by hydrodynamic influences (also called </w:t>
            </w:r>
            <w:r w:rsidR="00C30824" w:rsidRPr="00D30BC1">
              <w:rPr>
                <w:rFonts w:ascii="Arial" w:hAnsi="Arial" w:cs="Arial"/>
              </w:rPr>
              <w:t>“</w:t>
            </w:r>
            <w:r w:rsidRPr="00D30BC1">
              <w:rPr>
                <w:rFonts w:ascii="Arial" w:hAnsi="Arial" w:cs="Arial"/>
              </w:rPr>
              <w:t>continuous-type deposits</w:t>
            </w:r>
            <w:r w:rsidR="00C30824" w:rsidRPr="00D30BC1">
              <w:rPr>
                <w:rFonts w:ascii="Arial" w:hAnsi="Arial" w:cs="Arial"/>
              </w:rPr>
              <w:t>”</w:t>
            </w:r>
            <w:r w:rsidR="00B44045" w:rsidRPr="00D30BC1">
              <w:rPr>
                <w:rFonts w:ascii="Arial" w:hAnsi="Arial" w:cs="Arial"/>
              </w:rPr>
              <w:t>). Examples include coal</w:t>
            </w:r>
            <w:r w:rsidRPr="00D30BC1">
              <w:rPr>
                <w:rFonts w:ascii="Arial" w:hAnsi="Arial" w:cs="Arial"/>
              </w:rPr>
              <w:t>bed methane (CBM), basin-centered gas, shale gas, gas hydrate, natural bitumen (tar sands), and oil shale deposits. Typically, such accumulations require specialized extraction technology (e.g.</w:t>
            </w:r>
            <w:r w:rsidR="00B44045" w:rsidRPr="00D30BC1">
              <w:rPr>
                <w:rFonts w:ascii="Arial" w:hAnsi="Arial" w:cs="Arial"/>
              </w:rPr>
              <w:t>,</w:t>
            </w:r>
            <w:r w:rsidRPr="00D30BC1">
              <w:rPr>
                <w:rFonts w:ascii="Arial" w:hAnsi="Arial" w:cs="Arial"/>
              </w:rPr>
              <w:t xml:space="preserve"> dewatering of CBM, massive fracturing programs for shale gas, steam and/or solvents to mobilize bitumen for in-situ recovery, and</w:t>
            </w:r>
            <w:r w:rsidR="00B44045" w:rsidRPr="00D30BC1">
              <w:rPr>
                <w:rFonts w:ascii="Arial" w:hAnsi="Arial" w:cs="Arial"/>
              </w:rPr>
              <w:t>,</w:t>
            </w:r>
            <w:r w:rsidRPr="00D30BC1">
              <w:rPr>
                <w:rFonts w:ascii="Arial" w:hAnsi="Arial" w:cs="Arial"/>
              </w:rPr>
              <w:t xml:space="preserve"> in some cases, mining activities). Moreover, the extracted petroleum may require significant processing prior to sale (e.g.</w:t>
            </w:r>
            <w:r w:rsidR="00B44045" w:rsidRPr="00D30BC1">
              <w:rPr>
                <w:rFonts w:ascii="Arial" w:hAnsi="Arial" w:cs="Arial"/>
              </w:rPr>
              <w:t>,</w:t>
            </w:r>
            <w:r w:rsidRPr="00D30BC1">
              <w:rPr>
                <w:rFonts w:ascii="Arial" w:hAnsi="Arial" w:cs="Arial"/>
              </w:rPr>
              <w:t xml:space="preserve"> bitumen upgraders).  (</w:t>
            </w:r>
            <w:r w:rsidR="00B44045" w:rsidRPr="00D30BC1">
              <w:rPr>
                <w:rFonts w:ascii="Arial" w:hAnsi="Arial" w:cs="Arial"/>
              </w:rPr>
              <w:t>A</w:t>
            </w:r>
            <w:r w:rsidRPr="00D30BC1">
              <w:rPr>
                <w:rFonts w:ascii="Arial" w:hAnsi="Arial" w:cs="Arial"/>
              </w:rPr>
              <w:t xml:space="preserve">lso termed </w:t>
            </w:r>
            <w:r w:rsidR="00C30824" w:rsidRPr="00D30BC1">
              <w:rPr>
                <w:rFonts w:ascii="Arial" w:hAnsi="Arial" w:cs="Arial"/>
              </w:rPr>
              <w:t>“</w:t>
            </w:r>
            <w:r w:rsidRPr="00D30BC1">
              <w:rPr>
                <w:rFonts w:ascii="Arial" w:hAnsi="Arial" w:cs="Arial"/>
              </w:rPr>
              <w:t>Non-Conventional</w:t>
            </w:r>
            <w:r w:rsidR="00C30824" w:rsidRPr="00D30BC1">
              <w:rPr>
                <w:rFonts w:ascii="Arial" w:hAnsi="Arial" w:cs="Arial"/>
              </w:rPr>
              <w:t>”</w:t>
            </w:r>
            <w:r w:rsidRPr="00D30BC1">
              <w:rPr>
                <w:rFonts w:ascii="Arial" w:hAnsi="Arial" w:cs="Arial"/>
              </w:rPr>
              <w:t xml:space="preserve"> Resources and </w:t>
            </w:r>
            <w:r w:rsidR="00C30824" w:rsidRPr="00D30BC1">
              <w:rPr>
                <w:rFonts w:ascii="Arial" w:hAnsi="Arial" w:cs="Arial"/>
              </w:rPr>
              <w:t>“</w:t>
            </w:r>
            <w:r w:rsidRPr="00D30BC1">
              <w:rPr>
                <w:rFonts w:ascii="Arial" w:hAnsi="Arial" w:cs="Arial"/>
              </w:rPr>
              <w:t>Continuous Deposits</w:t>
            </w:r>
            <w:r w:rsidR="00B44045" w:rsidRPr="00D30BC1">
              <w:rPr>
                <w:rFonts w:ascii="Arial" w:hAnsi="Arial" w:cs="Arial"/>
              </w:rPr>
              <w:t>.</w:t>
            </w:r>
            <w:r w:rsidR="00C30824" w:rsidRPr="00D30BC1">
              <w:rPr>
                <w:rFonts w:ascii="Arial" w:hAnsi="Arial" w:cs="Arial"/>
              </w:rPr>
              <w:t>”</w:t>
            </w:r>
            <w:r w:rsidRPr="00D30BC1">
              <w:rPr>
                <w:rFonts w:ascii="Arial" w:hAnsi="Arial" w:cs="Arial"/>
              </w:rPr>
              <w:t>)</w:t>
            </w:r>
            <w:r w:rsidR="00A57AC7" w:rsidRPr="00D30BC1">
              <w:rPr>
                <w:rFonts w:ascii="Arial" w:hAnsi="Arial" w:cs="Arial"/>
              </w:rPr>
              <w:t xml:space="preserve"> </w:t>
            </w:r>
          </w:p>
        </w:tc>
      </w:tr>
      <w:tr w:rsidR="00BF46B4" w:rsidRPr="00D30BC1" w14:paraId="6983233C" w14:textId="77777777" w:rsidTr="00D30BC1">
        <w:trPr>
          <w:trHeight w:val="509"/>
        </w:trPr>
        <w:tc>
          <w:tcPr>
            <w:tcW w:w="1440" w:type="dxa"/>
            <w:shd w:val="clear" w:color="auto" w:fill="auto"/>
            <w:tcMar>
              <w:top w:w="15" w:type="dxa"/>
              <w:left w:w="15" w:type="dxa"/>
              <w:bottom w:w="0" w:type="dxa"/>
              <w:right w:w="15" w:type="dxa"/>
            </w:tcMar>
          </w:tcPr>
          <w:p w14:paraId="7918C09F"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Undeveloped Reserves</w:t>
            </w:r>
          </w:p>
        </w:tc>
        <w:tc>
          <w:tcPr>
            <w:tcW w:w="1080" w:type="dxa"/>
            <w:gridSpan w:val="2"/>
            <w:shd w:val="clear" w:color="auto" w:fill="auto"/>
          </w:tcPr>
          <w:p w14:paraId="45A28F78" w14:textId="77777777" w:rsidR="00BF46B4" w:rsidRPr="00D30BC1" w:rsidRDefault="00BF46B4" w:rsidP="00D30BC1">
            <w:pPr>
              <w:rPr>
                <w:rFonts w:ascii="Arial" w:hAnsi="Arial" w:cs="Arial"/>
                <w:sz w:val="18"/>
                <w:szCs w:val="22"/>
              </w:rPr>
            </w:pPr>
            <w:r w:rsidRPr="00D30BC1">
              <w:rPr>
                <w:rFonts w:ascii="Arial" w:hAnsi="Arial" w:cs="Arial"/>
                <w:sz w:val="18"/>
                <w:szCs w:val="22"/>
              </w:rPr>
              <w:t xml:space="preserve">2001 - 2.1.3.1 and Table </w:t>
            </w:r>
            <w:r w:rsidR="00B44045" w:rsidRPr="00D30BC1">
              <w:rPr>
                <w:rFonts w:ascii="Arial" w:hAnsi="Arial" w:cs="Arial"/>
                <w:sz w:val="18"/>
                <w:szCs w:val="22"/>
              </w:rPr>
              <w:t>2</w:t>
            </w:r>
          </w:p>
        </w:tc>
        <w:tc>
          <w:tcPr>
            <w:tcW w:w="7202" w:type="dxa"/>
            <w:shd w:val="clear" w:color="auto" w:fill="auto"/>
            <w:tcMar>
              <w:top w:w="15" w:type="dxa"/>
              <w:left w:w="15" w:type="dxa"/>
              <w:bottom w:w="0" w:type="dxa"/>
              <w:right w:w="15" w:type="dxa"/>
            </w:tcMar>
          </w:tcPr>
          <w:p w14:paraId="0866C43E" w14:textId="77777777" w:rsidR="00BF46B4" w:rsidRPr="00D30BC1" w:rsidRDefault="00BF46B4" w:rsidP="00D30BC1">
            <w:pPr>
              <w:spacing w:after="120"/>
              <w:rPr>
                <w:rFonts w:ascii="Arial" w:eastAsia="Arial Unicode MS" w:hAnsi="Arial" w:cs="Arial"/>
                <w:sz w:val="20"/>
                <w:szCs w:val="20"/>
              </w:rPr>
            </w:pPr>
            <w:r w:rsidRPr="00D30BC1">
              <w:rPr>
                <w:rFonts w:ascii="Arial" w:hAnsi="Arial" w:cs="Arial"/>
                <w:sz w:val="20"/>
                <w:szCs w:val="20"/>
              </w:rPr>
              <w:t>Undeveloped Reserves are quantities expected to be recov</w:t>
            </w:r>
            <w:r w:rsidR="00B44045" w:rsidRPr="00D30BC1">
              <w:rPr>
                <w:rFonts w:ascii="Arial" w:hAnsi="Arial" w:cs="Arial"/>
                <w:sz w:val="20"/>
                <w:szCs w:val="20"/>
              </w:rPr>
              <w:t>ered through future investments:</w:t>
            </w:r>
            <w:r w:rsidRPr="00D30BC1">
              <w:rPr>
                <w:rFonts w:ascii="Arial" w:hAnsi="Arial" w:cs="Arial"/>
                <w:sz w:val="20"/>
                <w:szCs w:val="20"/>
              </w:rPr>
              <w:t xml:space="preserve"> (1) from new wells on undrilled acreage in known accumulations, (2) from deepening existing wells to a different (but known) reservoir, (3) from infill wells that will increase recovery, or (4) where a relatively large expenditure (e.g.</w:t>
            </w:r>
            <w:r w:rsidR="00B44045" w:rsidRPr="00D30BC1">
              <w:rPr>
                <w:rFonts w:ascii="Arial" w:hAnsi="Arial" w:cs="Arial"/>
                <w:sz w:val="20"/>
                <w:szCs w:val="20"/>
              </w:rPr>
              <w:t>,</w:t>
            </w:r>
            <w:r w:rsidRPr="00D30BC1">
              <w:rPr>
                <w:rFonts w:ascii="Arial" w:hAnsi="Arial" w:cs="Arial"/>
                <w:sz w:val="20"/>
                <w:szCs w:val="20"/>
              </w:rPr>
              <w:t xml:space="preserve"> when compared to the cost of drilling a new well) is required to (a) recomplete an existing well or (b) install production or transportation facilities for primary or improved recovery projects.  </w:t>
            </w:r>
          </w:p>
        </w:tc>
      </w:tr>
      <w:tr w:rsidR="00BF46B4" w:rsidRPr="00D30BC1" w14:paraId="33C86515" w14:textId="77777777" w:rsidTr="00D30BC1">
        <w:trPr>
          <w:trHeight w:val="509"/>
        </w:trPr>
        <w:tc>
          <w:tcPr>
            <w:tcW w:w="1440" w:type="dxa"/>
            <w:shd w:val="clear" w:color="auto" w:fill="auto"/>
            <w:tcMar>
              <w:top w:w="15" w:type="dxa"/>
              <w:left w:w="15" w:type="dxa"/>
              <w:bottom w:w="0" w:type="dxa"/>
              <w:right w:w="15" w:type="dxa"/>
            </w:tcMar>
          </w:tcPr>
          <w:p w14:paraId="66EBB526"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Unitization</w:t>
            </w:r>
          </w:p>
        </w:tc>
        <w:tc>
          <w:tcPr>
            <w:tcW w:w="1080" w:type="dxa"/>
            <w:gridSpan w:val="2"/>
            <w:shd w:val="clear" w:color="auto" w:fill="auto"/>
          </w:tcPr>
          <w:p w14:paraId="7B915269"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11137DA9" w14:textId="77777777" w:rsidR="00BF46B4" w:rsidRPr="00D30BC1" w:rsidRDefault="00BF46B4" w:rsidP="00D30BC1">
            <w:pPr>
              <w:spacing w:after="120"/>
              <w:rPr>
                <w:rFonts w:ascii="Arial" w:eastAsia="Arial Unicode MS" w:hAnsi="Arial" w:cs="Arial"/>
                <w:sz w:val="20"/>
                <w:szCs w:val="20"/>
              </w:rPr>
            </w:pPr>
            <w:r w:rsidRPr="00D30BC1">
              <w:rPr>
                <w:rFonts w:ascii="Arial" w:hAnsi="Arial" w:cs="Arial"/>
                <w:sz w:val="20"/>
                <w:szCs w:val="20"/>
              </w:rPr>
              <w:t xml:space="preserve">Process whereby owners group adjoining properties and divide reserves, production, costs, and other factors according to their respective entitlement to petroleum quantities to be recovered from the shared reservoir(s). </w:t>
            </w:r>
          </w:p>
        </w:tc>
      </w:tr>
      <w:tr w:rsidR="00BF46B4" w:rsidRPr="00D30BC1" w14:paraId="24E1379F" w14:textId="77777777" w:rsidTr="00D30BC1">
        <w:trPr>
          <w:trHeight w:val="668"/>
        </w:trPr>
        <w:tc>
          <w:tcPr>
            <w:tcW w:w="1440" w:type="dxa"/>
            <w:shd w:val="clear" w:color="auto" w:fill="auto"/>
            <w:tcMar>
              <w:top w:w="15" w:type="dxa"/>
              <w:left w:w="15" w:type="dxa"/>
              <w:bottom w:w="0" w:type="dxa"/>
              <w:right w:w="15" w:type="dxa"/>
            </w:tcMar>
          </w:tcPr>
          <w:p w14:paraId="29DAA24F"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Unproved Reserves</w:t>
            </w:r>
          </w:p>
        </w:tc>
        <w:tc>
          <w:tcPr>
            <w:tcW w:w="1080" w:type="dxa"/>
            <w:gridSpan w:val="2"/>
            <w:shd w:val="clear" w:color="auto" w:fill="auto"/>
          </w:tcPr>
          <w:p w14:paraId="439175B5" w14:textId="77777777" w:rsidR="00BF46B4" w:rsidRPr="00D30BC1" w:rsidRDefault="00BF46B4" w:rsidP="00D30BC1">
            <w:pPr>
              <w:rPr>
                <w:rFonts w:ascii="Arial" w:hAnsi="Arial" w:cs="Arial"/>
                <w:sz w:val="18"/>
                <w:szCs w:val="22"/>
              </w:rPr>
            </w:pPr>
            <w:r w:rsidRPr="00D30BC1">
              <w:rPr>
                <w:rFonts w:ascii="Arial" w:hAnsi="Arial" w:cs="Arial"/>
                <w:sz w:val="18"/>
                <w:szCs w:val="22"/>
              </w:rPr>
              <w:t>2001 - 5.1.1</w:t>
            </w:r>
          </w:p>
        </w:tc>
        <w:tc>
          <w:tcPr>
            <w:tcW w:w="7202" w:type="dxa"/>
            <w:shd w:val="clear" w:color="auto" w:fill="auto"/>
            <w:tcMar>
              <w:top w:w="15" w:type="dxa"/>
              <w:left w:w="15" w:type="dxa"/>
              <w:bottom w:w="0" w:type="dxa"/>
              <w:right w:w="15" w:type="dxa"/>
            </w:tcMar>
          </w:tcPr>
          <w:p w14:paraId="3E5D85C2"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 xml:space="preserve">Unproved Reserves are based on geoscience and/or engineering data similar to that used in estimates of Proved Reserves, but technical or other uncertainties preclude such reserves being classified as Proved. Unproved Reserves may be further categorized as Probable Reserves and Possible Reserves. </w:t>
            </w:r>
          </w:p>
        </w:tc>
      </w:tr>
      <w:tr w:rsidR="00BF46B4" w:rsidRPr="00D30BC1" w14:paraId="4EC5E4A7" w14:textId="77777777" w:rsidTr="00D30BC1">
        <w:trPr>
          <w:trHeight w:val="445"/>
        </w:trPr>
        <w:tc>
          <w:tcPr>
            <w:tcW w:w="1440" w:type="dxa"/>
            <w:tcBorders>
              <w:bottom w:val="single" w:sz="4" w:space="0" w:color="auto"/>
            </w:tcBorders>
            <w:shd w:val="clear" w:color="auto" w:fill="auto"/>
            <w:tcMar>
              <w:top w:w="15" w:type="dxa"/>
              <w:left w:w="15" w:type="dxa"/>
              <w:bottom w:w="0" w:type="dxa"/>
              <w:right w:w="15" w:type="dxa"/>
            </w:tcMar>
          </w:tcPr>
          <w:p w14:paraId="6F1FA7ED"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Unrecoverable Resources</w:t>
            </w:r>
          </w:p>
        </w:tc>
        <w:tc>
          <w:tcPr>
            <w:tcW w:w="1080" w:type="dxa"/>
            <w:gridSpan w:val="2"/>
            <w:tcBorders>
              <w:bottom w:val="single" w:sz="4" w:space="0" w:color="auto"/>
            </w:tcBorders>
            <w:shd w:val="clear" w:color="auto" w:fill="auto"/>
          </w:tcPr>
          <w:p w14:paraId="2C7A0EC8"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2007 - 1.1</w:t>
            </w:r>
          </w:p>
        </w:tc>
        <w:tc>
          <w:tcPr>
            <w:tcW w:w="7202" w:type="dxa"/>
            <w:tcBorders>
              <w:bottom w:val="single" w:sz="4" w:space="0" w:color="auto"/>
            </w:tcBorders>
            <w:shd w:val="clear" w:color="auto" w:fill="auto"/>
            <w:tcMar>
              <w:top w:w="15" w:type="dxa"/>
              <w:left w:w="15" w:type="dxa"/>
              <w:bottom w:w="0" w:type="dxa"/>
              <w:right w:w="15" w:type="dxa"/>
            </w:tcMar>
          </w:tcPr>
          <w:p w14:paraId="6195E6D8"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 xml:space="preserve">That portion of Discovered or Undiscovered Petroleum Initially-in-Place quantities which are estimated, as of a given date, not to be recoverable.  A portion of these quantities may become recoverable in the future as commercial circumstances change, technological developments occur, or additional data </w:t>
            </w:r>
            <w:r w:rsidR="0002182E" w:rsidRPr="00D30BC1">
              <w:rPr>
                <w:rFonts w:ascii="Arial" w:eastAsia="Arial Unicode MS" w:hAnsi="Arial" w:cs="Arial"/>
                <w:sz w:val="20"/>
                <w:szCs w:val="22"/>
              </w:rPr>
              <w:t>are</w:t>
            </w:r>
            <w:r w:rsidRPr="00D30BC1">
              <w:rPr>
                <w:rFonts w:ascii="Arial" w:eastAsia="Arial Unicode MS" w:hAnsi="Arial" w:cs="Arial"/>
                <w:sz w:val="20"/>
                <w:szCs w:val="22"/>
              </w:rPr>
              <w:t xml:space="preserve"> acquired.</w:t>
            </w:r>
          </w:p>
        </w:tc>
      </w:tr>
      <w:tr w:rsidR="00BF46B4" w:rsidRPr="00D30BC1" w14:paraId="5869B6A3" w14:textId="77777777" w:rsidTr="00D30BC1">
        <w:trPr>
          <w:trHeight w:val="1284"/>
        </w:trPr>
        <w:tc>
          <w:tcPr>
            <w:tcW w:w="1440" w:type="dxa"/>
            <w:shd w:val="clear" w:color="auto" w:fill="auto"/>
            <w:tcMar>
              <w:top w:w="15" w:type="dxa"/>
              <w:left w:w="15" w:type="dxa"/>
              <w:bottom w:w="0" w:type="dxa"/>
              <w:right w:w="15" w:type="dxa"/>
            </w:tcMar>
          </w:tcPr>
          <w:p w14:paraId="18E1C1FF" w14:textId="77777777" w:rsidR="00BF46B4" w:rsidRPr="00D30BC1" w:rsidRDefault="00BF46B4" w:rsidP="00D30BC1">
            <w:pPr>
              <w:rPr>
                <w:rFonts w:ascii="Arial" w:hAnsi="Arial" w:cs="Arial"/>
                <w:sz w:val="20"/>
                <w:szCs w:val="22"/>
              </w:rPr>
            </w:pPr>
            <w:r w:rsidRPr="00D30BC1">
              <w:rPr>
                <w:rFonts w:ascii="Arial" w:hAnsi="Arial" w:cs="Arial"/>
                <w:sz w:val="20"/>
                <w:szCs w:val="22"/>
              </w:rPr>
              <w:t>Upgrader</w:t>
            </w:r>
          </w:p>
        </w:tc>
        <w:tc>
          <w:tcPr>
            <w:tcW w:w="1080" w:type="dxa"/>
            <w:gridSpan w:val="2"/>
            <w:shd w:val="clear" w:color="auto" w:fill="auto"/>
          </w:tcPr>
          <w:p w14:paraId="27DC199F" w14:textId="77777777" w:rsidR="00BF46B4" w:rsidRPr="00D30BC1" w:rsidRDefault="00BF46B4" w:rsidP="00D30BC1">
            <w:pPr>
              <w:rPr>
                <w:rFonts w:ascii="Arial" w:eastAsia="Arial Unicode MS" w:hAnsi="Arial" w:cs="Arial"/>
                <w:sz w:val="18"/>
                <w:szCs w:val="22"/>
              </w:rPr>
            </w:pPr>
            <w:r w:rsidRPr="00D30BC1">
              <w:rPr>
                <w:rFonts w:ascii="Arial" w:eastAsia="Arial Unicode MS" w:hAnsi="Arial" w:cs="Arial"/>
                <w:sz w:val="18"/>
                <w:szCs w:val="22"/>
              </w:rPr>
              <w:t xml:space="preserve">2007 </w:t>
            </w:r>
            <w:r w:rsidR="0002182E" w:rsidRPr="00D30BC1">
              <w:rPr>
                <w:rFonts w:ascii="Arial" w:eastAsia="Arial Unicode MS" w:hAnsi="Arial" w:cs="Arial"/>
                <w:sz w:val="18"/>
                <w:szCs w:val="22"/>
              </w:rPr>
              <w:t>-</w:t>
            </w:r>
            <w:r w:rsidRPr="00D30BC1">
              <w:rPr>
                <w:rFonts w:ascii="Arial" w:eastAsia="Arial Unicode MS" w:hAnsi="Arial" w:cs="Arial"/>
                <w:sz w:val="18"/>
                <w:szCs w:val="22"/>
              </w:rPr>
              <w:t xml:space="preserve"> 2.4</w:t>
            </w:r>
          </w:p>
        </w:tc>
        <w:tc>
          <w:tcPr>
            <w:tcW w:w="7202" w:type="dxa"/>
            <w:shd w:val="clear" w:color="auto" w:fill="auto"/>
            <w:tcMar>
              <w:top w:w="15" w:type="dxa"/>
              <w:left w:w="15" w:type="dxa"/>
              <w:bottom w:w="0" w:type="dxa"/>
              <w:right w:w="15" w:type="dxa"/>
            </w:tcMar>
          </w:tcPr>
          <w:p w14:paraId="41CFB544" w14:textId="77777777" w:rsidR="00BF46B4" w:rsidRPr="00D30BC1" w:rsidRDefault="00BF46B4" w:rsidP="00D30BC1">
            <w:pPr>
              <w:spacing w:after="120"/>
              <w:rPr>
                <w:rFonts w:ascii="Arial" w:eastAsia="Arial Unicode MS" w:hAnsi="Arial" w:cs="Arial"/>
                <w:sz w:val="20"/>
                <w:szCs w:val="22"/>
              </w:rPr>
            </w:pPr>
            <w:r w:rsidRPr="00D30BC1">
              <w:rPr>
                <w:rFonts w:ascii="Arial" w:eastAsia="Arial Unicode MS" w:hAnsi="Arial" w:cs="Arial"/>
                <w:sz w:val="20"/>
                <w:szCs w:val="22"/>
              </w:rPr>
              <w:t xml:space="preserve">A general term applied to processing plants that convert extra-heavy crude oil and natural bitumen into lighter crude and less viscous synthetic crude oil (SCO). While the detailed process varies, the underlying concept is to remove carbon through coking or to increase hydrogen by hydrogenation processes using catalysts.  </w:t>
            </w:r>
          </w:p>
        </w:tc>
      </w:tr>
      <w:tr w:rsidR="00BF46B4" w:rsidRPr="00D30BC1" w14:paraId="652DB03A" w14:textId="77777777" w:rsidTr="00D30BC1">
        <w:trPr>
          <w:trHeight w:val="816"/>
        </w:trPr>
        <w:tc>
          <w:tcPr>
            <w:tcW w:w="144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A90693F" w14:textId="77777777" w:rsidR="00BF46B4" w:rsidRPr="00D30BC1" w:rsidRDefault="00BF46B4" w:rsidP="00D30BC1">
            <w:pPr>
              <w:rPr>
                <w:rFonts w:ascii="Arial" w:hAnsi="Arial" w:cs="Arial"/>
                <w:sz w:val="20"/>
                <w:szCs w:val="22"/>
              </w:rPr>
            </w:pPr>
            <w:r w:rsidRPr="00D30BC1">
              <w:rPr>
                <w:rFonts w:ascii="Arial" w:hAnsi="Arial" w:cs="Arial"/>
                <w:sz w:val="20"/>
                <w:szCs w:val="22"/>
              </w:rPr>
              <w:t>Well Abandonment</w:t>
            </w:r>
          </w:p>
        </w:tc>
        <w:tc>
          <w:tcPr>
            <w:tcW w:w="1080" w:type="dxa"/>
            <w:gridSpan w:val="2"/>
            <w:tcBorders>
              <w:top w:val="single" w:sz="4" w:space="0" w:color="auto"/>
              <w:left w:val="single" w:sz="4" w:space="0" w:color="auto"/>
              <w:bottom w:val="single" w:sz="4" w:space="0" w:color="auto"/>
              <w:right w:val="single" w:sz="4" w:space="0" w:color="auto"/>
            </w:tcBorders>
            <w:shd w:val="clear" w:color="auto" w:fill="auto"/>
          </w:tcPr>
          <w:p w14:paraId="41229484" w14:textId="77777777" w:rsidR="00BF46B4" w:rsidRPr="00D30BC1" w:rsidRDefault="00BF46B4" w:rsidP="00D30BC1">
            <w:pPr>
              <w:rPr>
                <w:rFonts w:ascii="Arial" w:eastAsia="Arial Unicode MS" w:hAnsi="Arial" w:cs="Arial"/>
                <w:sz w:val="20"/>
                <w:szCs w:val="22"/>
              </w:rPr>
            </w:pPr>
          </w:p>
        </w:tc>
        <w:tc>
          <w:tcPr>
            <w:tcW w:w="72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6A864BE" w14:textId="77777777" w:rsidR="00BF46B4" w:rsidRPr="00D30BC1" w:rsidRDefault="00BF46B4" w:rsidP="00D30BC1">
            <w:pPr>
              <w:spacing w:after="120"/>
              <w:rPr>
                <w:rFonts w:ascii="Arial" w:eastAsia="Arial Unicode MS" w:hAnsi="Arial" w:cs="Arial"/>
                <w:sz w:val="20"/>
                <w:szCs w:val="20"/>
              </w:rPr>
            </w:pPr>
            <w:r w:rsidRPr="00D30BC1">
              <w:rPr>
                <w:rFonts w:ascii="Arial" w:hAnsi="Arial" w:cs="Arial"/>
                <w:sz w:val="20"/>
                <w:szCs w:val="20"/>
              </w:rPr>
              <w:t>The permanent plugging of a dry hole, an injection well, an exploration well</w:t>
            </w:r>
            <w:r w:rsidR="0002182E" w:rsidRPr="00D30BC1">
              <w:rPr>
                <w:rFonts w:ascii="Arial" w:hAnsi="Arial" w:cs="Arial"/>
                <w:sz w:val="20"/>
                <w:szCs w:val="20"/>
              </w:rPr>
              <w:t>,</w:t>
            </w:r>
            <w:r w:rsidRPr="00D30BC1">
              <w:rPr>
                <w:rFonts w:ascii="Arial" w:hAnsi="Arial" w:cs="Arial"/>
                <w:sz w:val="20"/>
                <w:szCs w:val="20"/>
              </w:rPr>
              <w:t xml:space="preserve"> or a well that no longer produces petroleum or is no longer capable of producing petroleum profitably.  Several steps are involved in the abandonment of a well:  permission for abandonment and procedural requirements are secured from official agencies; the casing is removed and salvaged if possible; and one or more cement plugs and/or mud are placed in the borehole to prevent migration of fluids between the different formations penetrated by the borehole. In some cases, wells may be temporarily abandoned where operations are suspended for extended periods pending future conversions to other applications such as reservoir monitoring, enhanced recovery, etc.</w:t>
            </w:r>
          </w:p>
        </w:tc>
      </w:tr>
      <w:tr w:rsidR="00BF46B4" w:rsidRPr="00D30BC1" w14:paraId="704E66E8" w14:textId="77777777" w:rsidTr="00D30BC1">
        <w:trPr>
          <w:trHeight w:val="795"/>
        </w:trPr>
        <w:tc>
          <w:tcPr>
            <w:tcW w:w="1440" w:type="dxa"/>
            <w:shd w:val="clear" w:color="auto" w:fill="auto"/>
            <w:tcMar>
              <w:top w:w="15" w:type="dxa"/>
              <w:left w:w="15" w:type="dxa"/>
              <w:bottom w:w="0" w:type="dxa"/>
              <w:right w:w="15" w:type="dxa"/>
            </w:tcMar>
          </w:tcPr>
          <w:p w14:paraId="24CE8DCB"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Wet Gas</w:t>
            </w:r>
          </w:p>
        </w:tc>
        <w:tc>
          <w:tcPr>
            <w:tcW w:w="1080" w:type="dxa"/>
            <w:gridSpan w:val="2"/>
            <w:shd w:val="clear" w:color="auto" w:fill="auto"/>
          </w:tcPr>
          <w:p w14:paraId="23226DBA" w14:textId="77777777" w:rsidR="00BF46B4" w:rsidRPr="00D30BC1" w:rsidRDefault="00BF46B4" w:rsidP="00D30BC1">
            <w:pPr>
              <w:rPr>
                <w:rFonts w:ascii="Arial" w:hAnsi="Arial" w:cs="Arial"/>
                <w:sz w:val="18"/>
                <w:szCs w:val="22"/>
              </w:rPr>
            </w:pPr>
            <w:r w:rsidRPr="00D30BC1">
              <w:rPr>
                <w:rFonts w:ascii="Arial" w:hAnsi="Arial" w:cs="Arial"/>
                <w:sz w:val="18"/>
                <w:szCs w:val="22"/>
              </w:rPr>
              <w:t>2001 - 3.2</w:t>
            </w:r>
          </w:p>
          <w:p w14:paraId="7AD84F42" w14:textId="77777777" w:rsidR="00BF46B4" w:rsidRPr="00D30BC1" w:rsidRDefault="00BF46B4" w:rsidP="00D30BC1">
            <w:pPr>
              <w:rPr>
                <w:rFonts w:ascii="Arial" w:hAnsi="Arial" w:cs="Arial"/>
                <w:sz w:val="18"/>
                <w:szCs w:val="22"/>
              </w:rPr>
            </w:pPr>
            <w:r w:rsidRPr="00D30BC1">
              <w:rPr>
                <w:rFonts w:ascii="Arial" w:hAnsi="Arial" w:cs="Arial"/>
                <w:sz w:val="18"/>
                <w:szCs w:val="22"/>
              </w:rPr>
              <w:t>2007 - 3.2.3</w:t>
            </w:r>
          </w:p>
        </w:tc>
        <w:tc>
          <w:tcPr>
            <w:tcW w:w="7202" w:type="dxa"/>
            <w:shd w:val="clear" w:color="auto" w:fill="auto"/>
            <w:tcMar>
              <w:top w:w="15" w:type="dxa"/>
              <w:left w:w="15" w:type="dxa"/>
              <w:bottom w:w="0" w:type="dxa"/>
              <w:right w:w="15" w:type="dxa"/>
            </w:tcMar>
          </w:tcPr>
          <w:p w14:paraId="57659D3F" w14:textId="77777777" w:rsidR="00BF46B4" w:rsidRPr="00D30BC1" w:rsidRDefault="00BF46B4" w:rsidP="00D30BC1">
            <w:pPr>
              <w:spacing w:after="120"/>
              <w:rPr>
                <w:rFonts w:ascii="Arial" w:eastAsia="Arial Unicode MS" w:hAnsi="Arial" w:cs="Arial"/>
                <w:sz w:val="20"/>
                <w:szCs w:val="22"/>
              </w:rPr>
            </w:pPr>
            <w:r w:rsidRPr="00D30BC1">
              <w:rPr>
                <w:rFonts w:ascii="Arial" w:hAnsi="Arial" w:cs="Arial"/>
                <w:sz w:val="20"/>
                <w:szCs w:val="22"/>
              </w:rPr>
              <w:t>Wet (Rich) Gas is natural gas from which no liquids have been removed prior to the reference point. The wet gas is accounted for in resource assessments</w:t>
            </w:r>
            <w:r w:rsidR="0002182E" w:rsidRPr="00D30BC1">
              <w:rPr>
                <w:rFonts w:ascii="Arial" w:hAnsi="Arial" w:cs="Arial"/>
                <w:sz w:val="20"/>
                <w:szCs w:val="22"/>
              </w:rPr>
              <w:t>,</w:t>
            </w:r>
            <w:r w:rsidRPr="00D30BC1">
              <w:rPr>
                <w:rFonts w:ascii="Arial" w:hAnsi="Arial" w:cs="Arial"/>
                <w:sz w:val="20"/>
                <w:szCs w:val="22"/>
              </w:rPr>
              <w:t xml:space="preserve"> and there is no separate accounting for contained liquids. It should be recognized that this is a resource assessment definition and not a phase behavior definition.</w:t>
            </w:r>
          </w:p>
        </w:tc>
      </w:tr>
      <w:tr w:rsidR="00BF46B4" w:rsidRPr="00D30BC1" w14:paraId="159AB1CC" w14:textId="77777777" w:rsidTr="00D30BC1">
        <w:trPr>
          <w:trHeight w:val="795"/>
        </w:trPr>
        <w:tc>
          <w:tcPr>
            <w:tcW w:w="1440" w:type="dxa"/>
            <w:shd w:val="clear" w:color="auto" w:fill="auto"/>
            <w:tcMar>
              <w:top w:w="15" w:type="dxa"/>
              <w:left w:w="15" w:type="dxa"/>
              <w:bottom w:w="0" w:type="dxa"/>
              <w:right w:w="15" w:type="dxa"/>
            </w:tcMar>
          </w:tcPr>
          <w:p w14:paraId="0ACEB723" w14:textId="77777777" w:rsidR="00BF46B4" w:rsidRPr="00D30BC1" w:rsidRDefault="00BF46B4" w:rsidP="00D30BC1">
            <w:pPr>
              <w:rPr>
                <w:rFonts w:ascii="Arial" w:hAnsi="Arial" w:cs="Arial"/>
                <w:sz w:val="20"/>
                <w:szCs w:val="22"/>
              </w:rPr>
            </w:pPr>
            <w:r w:rsidRPr="00D30BC1">
              <w:rPr>
                <w:rFonts w:ascii="Arial" w:hAnsi="Arial" w:cs="Arial"/>
                <w:sz w:val="20"/>
                <w:szCs w:val="22"/>
              </w:rPr>
              <w:t>Working Gas Volume</w:t>
            </w:r>
          </w:p>
        </w:tc>
        <w:tc>
          <w:tcPr>
            <w:tcW w:w="1080" w:type="dxa"/>
            <w:gridSpan w:val="2"/>
            <w:shd w:val="clear" w:color="auto" w:fill="auto"/>
          </w:tcPr>
          <w:p w14:paraId="37548013" w14:textId="77777777" w:rsidR="00BF46B4" w:rsidRPr="00D30BC1" w:rsidRDefault="00BF46B4" w:rsidP="00D30BC1">
            <w:pPr>
              <w:rPr>
                <w:rFonts w:ascii="Arial" w:hAnsi="Arial" w:cs="Arial"/>
                <w:sz w:val="18"/>
                <w:szCs w:val="22"/>
              </w:rPr>
            </w:pPr>
          </w:p>
        </w:tc>
        <w:tc>
          <w:tcPr>
            <w:tcW w:w="7202" w:type="dxa"/>
            <w:shd w:val="clear" w:color="auto" w:fill="auto"/>
            <w:tcMar>
              <w:top w:w="15" w:type="dxa"/>
              <w:left w:w="15" w:type="dxa"/>
              <w:bottom w:w="0" w:type="dxa"/>
              <w:right w:w="15" w:type="dxa"/>
            </w:tcMar>
          </w:tcPr>
          <w:p w14:paraId="3FC221E2" w14:textId="77777777" w:rsidR="00BF46B4" w:rsidRPr="00D30BC1" w:rsidRDefault="00BF46B4" w:rsidP="00BF5934">
            <w:pPr>
              <w:spacing w:after="120"/>
              <w:rPr>
                <w:rFonts w:ascii="Arial" w:hAnsi="Arial" w:cs="Arial"/>
                <w:sz w:val="20"/>
                <w:szCs w:val="22"/>
              </w:rPr>
            </w:pPr>
            <w:r w:rsidRPr="00D30BC1">
              <w:rPr>
                <w:rFonts w:ascii="Arial" w:hAnsi="Arial" w:cs="Arial"/>
                <w:sz w:val="20"/>
                <w:szCs w:val="22"/>
              </w:rPr>
              <w:t xml:space="preserve">With respect to underground natural gas storage, Working Gas Volume (WGV) is the volume of gas in storage above the designed level of cushion gas which can be withdrawn/injected with the installed subsurface and </w:t>
            </w:r>
            <w:r w:rsidR="0002182E" w:rsidRPr="00D30BC1">
              <w:rPr>
                <w:rFonts w:ascii="Arial" w:hAnsi="Arial" w:cs="Arial"/>
                <w:sz w:val="20"/>
                <w:szCs w:val="22"/>
              </w:rPr>
              <w:t>surface facilities (wells, flow</w:t>
            </w:r>
            <w:r w:rsidRPr="00D30BC1">
              <w:rPr>
                <w:rFonts w:ascii="Arial" w:hAnsi="Arial" w:cs="Arial"/>
                <w:sz w:val="20"/>
                <w:szCs w:val="22"/>
              </w:rPr>
              <w:t>lines, etc.) subject to legal and technical limitations (pressures, velocities, etc.). Depending on local site conditions (injection/withdrawal rates, u</w:t>
            </w:r>
            <w:r w:rsidR="00BF5934">
              <w:rPr>
                <w:rFonts w:ascii="Arial" w:hAnsi="Arial" w:cs="Arial"/>
                <w:sz w:val="20"/>
                <w:szCs w:val="22"/>
              </w:rPr>
              <w:t>sage</w:t>
            </w:r>
            <w:r w:rsidRPr="00D30BC1">
              <w:rPr>
                <w:rFonts w:ascii="Arial" w:hAnsi="Arial" w:cs="Arial"/>
                <w:sz w:val="20"/>
                <w:szCs w:val="22"/>
              </w:rPr>
              <w:t xml:space="preserve"> hours, etc.), the working gas volume may be cycled more than once a year. </w:t>
            </w:r>
          </w:p>
        </w:tc>
      </w:tr>
      <w:tr w:rsidR="00BF46B4" w14:paraId="1AABA8F5" w14:textId="77777777" w:rsidTr="00D30BC1">
        <w:trPr>
          <w:trHeight w:val="559"/>
        </w:trPr>
        <w:tc>
          <w:tcPr>
            <w:tcW w:w="1440" w:type="dxa"/>
            <w:shd w:val="clear" w:color="auto" w:fill="auto"/>
            <w:tcMar>
              <w:top w:w="15" w:type="dxa"/>
              <w:left w:w="15" w:type="dxa"/>
              <w:bottom w:w="0" w:type="dxa"/>
              <w:right w:w="15" w:type="dxa"/>
            </w:tcMar>
          </w:tcPr>
          <w:p w14:paraId="6AA398A7" w14:textId="77777777" w:rsidR="00BF46B4" w:rsidRPr="00D30BC1" w:rsidRDefault="00BF46B4" w:rsidP="00D30BC1">
            <w:pPr>
              <w:rPr>
                <w:rFonts w:ascii="Arial" w:eastAsia="Arial Unicode MS" w:hAnsi="Arial" w:cs="Arial"/>
                <w:sz w:val="20"/>
                <w:szCs w:val="22"/>
              </w:rPr>
            </w:pPr>
            <w:r w:rsidRPr="00D30BC1">
              <w:rPr>
                <w:rFonts w:ascii="Arial" w:hAnsi="Arial" w:cs="Arial"/>
                <w:sz w:val="20"/>
                <w:szCs w:val="22"/>
              </w:rPr>
              <w:t>Working Interest</w:t>
            </w:r>
          </w:p>
        </w:tc>
        <w:tc>
          <w:tcPr>
            <w:tcW w:w="1080" w:type="dxa"/>
            <w:gridSpan w:val="2"/>
            <w:shd w:val="clear" w:color="auto" w:fill="auto"/>
          </w:tcPr>
          <w:p w14:paraId="21242BB1" w14:textId="77777777" w:rsidR="00BF46B4" w:rsidRPr="00D30BC1" w:rsidRDefault="00BF46B4" w:rsidP="00D30BC1">
            <w:pPr>
              <w:rPr>
                <w:rFonts w:ascii="Arial" w:hAnsi="Arial" w:cs="Arial"/>
                <w:sz w:val="18"/>
                <w:szCs w:val="22"/>
              </w:rPr>
            </w:pPr>
            <w:r w:rsidRPr="00D30BC1">
              <w:rPr>
                <w:rFonts w:ascii="Arial" w:hAnsi="Arial" w:cs="Arial"/>
                <w:sz w:val="18"/>
                <w:szCs w:val="22"/>
              </w:rPr>
              <w:t>2001 - 9</w:t>
            </w:r>
          </w:p>
        </w:tc>
        <w:tc>
          <w:tcPr>
            <w:tcW w:w="7202" w:type="dxa"/>
            <w:shd w:val="clear" w:color="auto" w:fill="auto"/>
            <w:tcMar>
              <w:top w:w="15" w:type="dxa"/>
              <w:left w:w="15" w:type="dxa"/>
              <w:bottom w:w="0" w:type="dxa"/>
              <w:right w:w="15" w:type="dxa"/>
            </w:tcMar>
          </w:tcPr>
          <w:p w14:paraId="03ACE3CC" w14:textId="77777777" w:rsidR="00BF46B4" w:rsidRDefault="00BF46B4" w:rsidP="00D30BC1">
            <w:pPr>
              <w:spacing w:after="120"/>
              <w:rPr>
                <w:rFonts w:ascii="Arial" w:eastAsia="Arial Unicode MS" w:hAnsi="Arial" w:cs="Arial"/>
                <w:sz w:val="20"/>
                <w:szCs w:val="22"/>
              </w:rPr>
            </w:pPr>
            <w:r w:rsidRPr="00D30BC1">
              <w:rPr>
                <w:rFonts w:ascii="Arial" w:hAnsi="Arial" w:cs="Arial"/>
                <w:sz w:val="20"/>
                <w:szCs w:val="22"/>
              </w:rPr>
              <w:t>A company</w:t>
            </w:r>
            <w:r w:rsidR="00C30824" w:rsidRPr="00D30BC1">
              <w:rPr>
                <w:rFonts w:cs="Arial"/>
                <w:sz w:val="18"/>
                <w:szCs w:val="22"/>
              </w:rPr>
              <w:t>’</w:t>
            </w:r>
            <w:r w:rsidRPr="00D30BC1">
              <w:rPr>
                <w:rFonts w:ascii="Arial" w:hAnsi="Arial" w:cs="Arial"/>
                <w:sz w:val="20"/>
                <w:szCs w:val="22"/>
              </w:rPr>
              <w:t>s equity interest in a project before reduction for royalties or production share owed to others under the applicable fiscal terms.</w:t>
            </w:r>
          </w:p>
        </w:tc>
      </w:tr>
    </w:tbl>
    <w:p w14:paraId="467D7A0C" w14:textId="77777777" w:rsidR="00BF46B4" w:rsidRDefault="00BF46B4" w:rsidP="00D30BC1"/>
    <w:sectPr w:rsidR="00BF46B4" w:rsidSect="00600FF5">
      <w:headerReference w:type="default" r:id="rId21"/>
      <w:footerReference w:type="even" r:id="rId22"/>
      <w:footerReference w:type="default" r:id="rId23"/>
      <w:footerReference w:type="first" r:id="rId24"/>
      <w:type w:val="continuous"/>
      <w:pgSz w:w="12240" w:h="15840"/>
      <w:pgMar w:top="1440" w:right="1800" w:bottom="1440" w:left="1800" w:header="720" w:footer="720" w:gutter="0"/>
      <w:pgNumType w:start="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Frailey, Scott M" w:date="2016-11-03T16:47:00Z" w:initials="FSM">
    <w:p w14:paraId="31A2E9D2" w14:textId="77777777" w:rsidR="00D67BF1" w:rsidRDefault="00D67BF1">
      <w:pPr>
        <w:pStyle w:val="CommentText"/>
      </w:pPr>
      <w:r>
        <w:rPr>
          <w:rStyle w:val="CommentReference"/>
        </w:rPr>
        <w:annotationRef/>
      </w:r>
      <w:r>
        <w:t>Do we need to change figures 1-1 and 2-1 with new terminology in current PRMS draft?</w:t>
      </w:r>
    </w:p>
  </w:comment>
  <w:comment w:id="5" w:author="Ritter, John E" w:date="2016-10-27T14:40:00Z" w:initials="RJE">
    <w:p w14:paraId="51F0FC4C" w14:textId="77777777" w:rsidR="00D67BF1" w:rsidRDefault="00D67BF1" w:rsidP="009418F2">
      <w:pPr>
        <w:pStyle w:val="CommentText"/>
      </w:pPr>
      <w:r>
        <w:rPr>
          <w:rStyle w:val="CommentReference"/>
        </w:rPr>
        <w:annotationRef/>
      </w:r>
      <w:r>
        <w:t>New terminology introduced in current draft PRMS</w:t>
      </w:r>
    </w:p>
  </w:comment>
  <w:comment w:id="6" w:author="Ritter, John E" w:date="2016-10-27T14:40:00Z" w:initials="RJE">
    <w:p w14:paraId="250BD5BD" w14:textId="77777777" w:rsidR="00D67BF1" w:rsidRDefault="00D67BF1" w:rsidP="009418F2">
      <w:pPr>
        <w:pStyle w:val="CommentText"/>
      </w:pPr>
      <w:r>
        <w:rPr>
          <w:rStyle w:val="CommentReference"/>
        </w:rPr>
        <w:annotationRef/>
      </w:r>
      <w:r>
        <w:t>Replaced with draft PRMS language</w:t>
      </w:r>
    </w:p>
  </w:comment>
  <w:comment w:id="7" w:author="Ritter, John E" w:date="2016-10-27T14:40:00Z" w:initials="RJE">
    <w:p w14:paraId="52137D3D" w14:textId="77777777" w:rsidR="00D67BF1" w:rsidRDefault="00D67BF1" w:rsidP="009418F2">
      <w:pPr>
        <w:pStyle w:val="CommentText"/>
      </w:pPr>
      <w:r>
        <w:rPr>
          <w:rStyle w:val="CommentReference"/>
        </w:rPr>
        <w:annotationRef/>
      </w:r>
      <w:r>
        <w:t>Replaced with current recommended draft of PRMS</w:t>
      </w:r>
    </w:p>
  </w:comment>
  <w:comment w:id="8" w:author="Ritter, John E" w:date="2016-10-27T14:40:00Z" w:initials="RJE">
    <w:p w14:paraId="50B8753C" w14:textId="77777777" w:rsidR="00D67BF1" w:rsidRDefault="00D67BF1" w:rsidP="009418F2">
      <w:pPr>
        <w:pStyle w:val="CommentText"/>
      </w:pPr>
      <w:r>
        <w:rPr>
          <w:rStyle w:val="CommentReference"/>
        </w:rPr>
        <w:annotationRef/>
      </w:r>
      <w:r>
        <w:t>Per the new draft PRMS</w:t>
      </w:r>
    </w:p>
  </w:comment>
  <w:comment w:id="9" w:author="Ritter, John E" w:date="2016-10-27T14:40:00Z" w:initials="RJE">
    <w:p w14:paraId="4F766419" w14:textId="77777777" w:rsidR="00D67BF1" w:rsidRDefault="00D67BF1" w:rsidP="009418F2">
      <w:pPr>
        <w:pStyle w:val="CommentText"/>
      </w:pPr>
      <w:r>
        <w:rPr>
          <w:rStyle w:val="CommentReference"/>
        </w:rPr>
        <w:annotationRef/>
      </w:r>
      <w:r>
        <w:t>Per the new draft PRMS</w:t>
      </w:r>
    </w:p>
  </w:comment>
  <w:comment w:id="10" w:author="Ritter, John E" w:date="2016-10-27T14:40:00Z" w:initials="RJE">
    <w:p w14:paraId="0BEB031A" w14:textId="77777777" w:rsidR="00D67BF1" w:rsidRDefault="00D67BF1" w:rsidP="009418F2">
      <w:pPr>
        <w:pStyle w:val="CommentText"/>
      </w:pPr>
      <w:r>
        <w:rPr>
          <w:rStyle w:val="CommentReference"/>
        </w:rPr>
        <w:annotationRef/>
      </w:r>
      <w:r>
        <w:t>Per the new draft PRMS</w:t>
      </w:r>
    </w:p>
  </w:comment>
  <w:comment w:id="11" w:author="Ritter, John E" w:date="2016-10-27T14:40:00Z" w:initials="RJE">
    <w:p w14:paraId="51E2C520" w14:textId="77777777" w:rsidR="00D67BF1" w:rsidRDefault="00D67BF1" w:rsidP="009418F2">
      <w:pPr>
        <w:pStyle w:val="CommentText"/>
      </w:pPr>
      <w:r>
        <w:rPr>
          <w:rStyle w:val="CommentReference"/>
        </w:rPr>
        <w:annotationRef/>
      </w:r>
      <w:r>
        <w:t>The new draft PRMS will have significant changes to this section. How to handle upfront?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A2E9D2" w15:done="0"/>
  <w15:commentEx w15:paraId="51F0FC4C" w15:done="0"/>
  <w15:commentEx w15:paraId="250BD5BD" w15:done="0"/>
  <w15:commentEx w15:paraId="52137D3D" w15:done="0"/>
  <w15:commentEx w15:paraId="50B8753C" w15:done="0"/>
  <w15:commentEx w15:paraId="4F766419" w15:done="0"/>
  <w15:commentEx w15:paraId="0BEB031A" w15:done="0"/>
  <w15:commentEx w15:paraId="51E2C5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7321A2" w14:textId="77777777" w:rsidR="001A28E6" w:rsidRDefault="001A28E6">
      <w:r>
        <w:separator/>
      </w:r>
    </w:p>
  </w:endnote>
  <w:endnote w:type="continuationSeparator" w:id="0">
    <w:p w14:paraId="32EB3324" w14:textId="77777777" w:rsidR="001A28E6" w:rsidRDefault="001A2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AB8A4" w14:textId="77777777" w:rsidR="00D67BF1" w:rsidRDefault="00D67B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9A54DA" w14:textId="77777777" w:rsidR="00D67BF1" w:rsidRDefault="00D67BF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E0966" w14:textId="77777777" w:rsidR="00D67BF1" w:rsidRDefault="00D67BF1">
    <w:pPr>
      <w:pStyle w:val="Footer"/>
      <w:framePr w:wrap="around" w:vAnchor="text" w:hAnchor="margin" w:xAlign="right" w:y="1"/>
      <w:rPr>
        <w:rStyle w:val="PageNumber"/>
      </w:rPr>
    </w:pPr>
  </w:p>
  <w:p w14:paraId="271B8D5C" w14:textId="77777777" w:rsidR="00D67BF1" w:rsidRDefault="00D67BF1" w:rsidP="00C901CC">
    <w:pPr>
      <w:pStyle w:val="Footer"/>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2385A" w14:textId="77777777" w:rsidR="00D67BF1" w:rsidRDefault="00D67BF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08D499" w14:textId="77777777" w:rsidR="00D67BF1" w:rsidRDefault="00D67BF1">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4BBC5" w14:textId="77777777" w:rsidR="00D67BF1" w:rsidRDefault="00D67BF1">
    <w:pPr>
      <w:pStyle w:val="Footer"/>
      <w:framePr w:wrap="around" w:vAnchor="text" w:hAnchor="margin" w:xAlign="right" w:y="1"/>
      <w:rPr>
        <w:rStyle w:val="PageNumber"/>
      </w:rPr>
    </w:pPr>
  </w:p>
  <w:p w14:paraId="4E543D2C" w14:textId="028C4C6F" w:rsidR="00D67BF1" w:rsidRDefault="00D67BF1" w:rsidP="00CA68A4">
    <w:pPr>
      <w:pStyle w:val="Footer"/>
      <w:ind w:right="360"/>
      <w:jc w:val="right"/>
    </w:pPr>
    <w:r>
      <w:rPr>
        <w:rStyle w:val="PageNumber"/>
      </w:rPr>
      <w:fldChar w:fldCharType="begin"/>
    </w:r>
    <w:r>
      <w:rPr>
        <w:rStyle w:val="PageNumber"/>
      </w:rPr>
      <w:instrText xml:space="preserve"> PAGE </w:instrText>
    </w:r>
    <w:r>
      <w:rPr>
        <w:rStyle w:val="PageNumber"/>
      </w:rPr>
      <w:fldChar w:fldCharType="separate"/>
    </w:r>
    <w:r w:rsidR="00C93BA7">
      <w:rPr>
        <w:rStyle w:val="PageNumber"/>
        <w:noProof/>
      </w:rPr>
      <w:t>1</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DC1AE" w14:textId="77777777" w:rsidR="00D67BF1" w:rsidRDefault="00D67BF1">
    <w:pPr>
      <w:pStyle w:val="Footer"/>
    </w:pPr>
    <w:r>
      <w:rPr>
        <w:rStyle w:val="PageNumber"/>
        <w:rFonts w:ascii="Arial" w:hAnsi="Arial" w:cs="Arial"/>
        <w:sz w:val="20"/>
      </w:rPr>
      <w:t xml:space="preserve">(Key principles and definitions are in </w:t>
    </w:r>
    <w:r>
      <w:rPr>
        <w:rStyle w:val="PageNumber"/>
        <w:rFonts w:ascii="Arial" w:hAnsi="Arial" w:cs="Arial"/>
        <w:b/>
        <w:bCs/>
        <w:sz w:val="20"/>
      </w:rPr>
      <w:t xml:space="preserve">bold </w:t>
    </w:r>
    <w:r>
      <w:rPr>
        <w:rStyle w:val="PageNumber"/>
        <w:rFonts w:ascii="Arial" w:hAnsi="Arial" w:cs="Arial"/>
        <w:sz w:val="20"/>
      </w:rPr>
      <w:t xml:space="preserve">text, supporting guidelines are in </w:t>
    </w:r>
    <w:r>
      <w:rPr>
        <w:rStyle w:val="PageNumber"/>
        <w:rFonts w:ascii="Arial" w:hAnsi="Arial" w:cs="Arial"/>
        <w:i/>
        <w:iCs/>
        <w:sz w:val="20"/>
      </w:rPr>
      <w:t>italics</w:t>
    </w:r>
    <w:r>
      <w:rPr>
        <w:rStyle w:val="PageNumber"/>
        <w:rFonts w:ascii="Arial" w:hAnsi="Arial" w:cs="Arial"/>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019B5" w14:textId="77777777" w:rsidR="001A28E6" w:rsidRDefault="001A28E6">
      <w:r>
        <w:separator/>
      </w:r>
    </w:p>
  </w:footnote>
  <w:footnote w:type="continuationSeparator" w:id="0">
    <w:p w14:paraId="5F9003C9" w14:textId="77777777" w:rsidR="001A28E6" w:rsidRDefault="001A28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1E1E1" w14:textId="77777777" w:rsidR="00D67BF1" w:rsidRDefault="00D67BF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47163"/>
    <w:multiLevelType w:val="hybridMultilevel"/>
    <w:tmpl w:val="74E02B2C"/>
    <w:lvl w:ilvl="0" w:tplc="040C0001">
      <w:start w:val="1"/>
      <w:numFmt w:val="bullet"/>
      <w:lvlText w:val=""/>
      <w:lvlJc w:val="left"/>
      <w:pPr>
        <w:ind w:left="778" w:hanging="360"/>
      </w:pPr>
      <w:rPr>
        <w:rFonts w:ascii="Symbol" w:hAnsi="Symbol"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1" w15:restartNumberingAfterBreak="0">
    <w:nsid w:val="06B32C18"/>
    <w:multiLevelType w:val="multilevel"/>
    <w:tmpl w:val="BF06CCB0"/>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2" w15:restartNumberingAfterBreak="0">
    <w:nsid w:val="06EA66B4"/>
    <w:multiLevelType w:val="hybridMultilevel"/>
    <w:tmpl w:val="B986D1A4"/>
    <w:lvl w:ilvl="0" w:tplc="75525BE6">
      <w:start w:val="1"/>
      <w:numFmt w:val="bullet"/>
      <w:lvlText w:val=""/>
      <w:lvlJc w:val="left"/>
      <w:pPr>
        <w:tabs>
          <w:tab w:val="num" w:pos="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527AE9"/>
    <w:multiLevelType w:val="multilevel"/>
    <w:tmpl w:val="34121BD0"/>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ACA1C09"/>
    <w:multiLevelType w:val="hybridMultilevel"/>
    <w:tmpl w:val="93580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56FCE"/>
    <w:multiLevelType w:val="multilevel"/>
    <w:tmpl w:val="04AEDEC6"/>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FCB0841"/>
    <w:multiLevelType w:val="multilevel"/>
    <w:tmpl w:val="AE5CADAA"/>
    <w:lvl w:ilvl="0">
      <w:start w:val="4"/>
      <w:numFmt w:val="decimal"/>
      <w:lvlText w:val="%1"/>
      <w:lvlJc w:val="left"/>
      <w:pPr>
        <w:ind w:left="435" w:hanging="435"/>
      </w:pPr>
      <w:rPr>
        <w:rFonts w:hint="default"/>
      </w:rPr>
    </w:lvl>
    <w:lvl w:ilvl="1">
      <w:start w:val="2"/>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19C41C9"/>
    <w:multiLevelType w:val="multilevel"/>
    <w:tmpl w:val="A84AC884"/>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13376B1D"/>
    <w:multiLevelType w:val="hybridMultilevel"/>
    <w:tmpl w:val="34121BD0"/>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9D1282"/>
    <w:multiLevelType w:val="hybridMultilevel"/>
    <w:tmpl w:val="8CC254E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72C3031"/>
    <w:multiLevelType w:val="multilevel"/>
    <w:tmpl w:val="34121BD0"/>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AA56E0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AFA1572"/>
    <w:multiLevelType w:val="hybridMultilevel"/>
    <w:tmpl w:val="8800F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D796E49"/>
    <w:multiLevelType w:val="hybridMultilevel"/>
    <w:tmpl w:val="5374EE4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1D7E1DDE"/>
    <w:multiLevelType w:val="hybridMultilevel"/>
    <w:tmpl w:val="922AD622"/>
    <w:lvl w:ilvl="0" w:tplc="75525BE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FA23008"/>
    <w:multiLevelType w:val="hybridMultilevel"/>
    <w:tmpl w:val="9EEC4D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1933E33"/>
    <w:multiLevelType w:val="multilevel"/>
    <w:tmpl w:val="CC6A917C"/>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27C2BE6"/>
    <w:multiLevelType w:val="multilevel"/>
    <w:tmpl w:val="C4022BA6"/>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25030DC4"/>
    <w:multiLevelType w:val="hybridMultilevel"/>
    <w:tmpl w:val="8CECC5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8E647F0"/>
    <w:multiLevelType w:val="hybridMultilevel"/>
    <w:tmpl w:val="25C41B4C"/>
    <w:lvl w:ilvl="0" w:tplc="75525BE6">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357C2D"/>
    <w:multiLevelType w:val="multilevel"/>
    <w:tmpl w:val="020E3672"/>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31554C7A"/>
    <w:multiLevelType w:val="multilevel"/>
    <w:tmpl w:val="56662012"/>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39FA697B"/>
    <w:multiLevelType w:val="multilevel"/>
    <w:tmpl w:val="34121BD0"/>
    <w:lvl w:ilvl="0">
      <w:start w:val="1"/>
      <w:numFmt w:val="bullet"/>
      <w:lvlText w:val="o"/>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DD9013E"/>
    <w:multiLevelType w:val="hybridMultilevel"/>
    <w:tmpl w:val="8E8C1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4E1255"/>
    <w:multiLevelType w:val="hybridMultilevel"/>
    <w:tmpl w:val="DDC8F7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62D5FE4"/>
    <w:multiLevelType w:val="hybridMultilevel"/>
    <w:tmpl w:val="025830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02B4897"/>
    <w:multiLevelType w:val="hybridMultilevel"/>
    <w:tmpl w:val="3A3A19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65B2FE1"/>
    <w:multiLevelType w:val="multilevel"/>
    <w:tmpl w:val="0DCEFE6C"/>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7B75357"/>
    <w:multiLevelType w:val="hybridMultilevel"/>
    <w:tmpl w:val="FD8220C4"/>
    <w:lvl w:ilvl="0" w:tplc="75525BE6">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D124304"/>
    <w:multiLevelType w:val="multilevel"/>
    <w:tmpl w:val="4B2E7CAC"/>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810"/>
        </w:tabs>
        <w:ind w:left="81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60EF7EB1"/>
    <w:multiLevelType w:val="hybridMultilevel"/>
    <w:tmpl w:val="4CFE02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63DC3BE1"/>
    <w:multiLevelType w:val="multilevel"/>
    <w:tmpl w:val="98A20002"/>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66C14F9E"/>
    <w:multiLevelType w:val="hybridMultilevel"/>
    <w:tmpl w:val="38CEAD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3A7AB3"/>
    <w:multiLevelType w:val="multilevel"/>
    <w:tmpl w:val="D2B06674"/>
    <w:lvl w:ilvl="0">
      <w:start w:val="3"/>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7A278C7"/>
    <w:multiLevelType w:val="hybridMultilevel"/>
    <w:tmpl w:val="7B0CE79A"/>
    <w:lvl w:ilvl="0" w:tplc="DC94D91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68166CAC"/>
    <w:multiLevelType w:val="hybridMultilevel"/>
    <w:tmpl w:val="987094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664527"/>
    <w:multiLevelType w:val="hybridMultilevel"/>
    <w:tmpl w:val="34121BD0"/>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6F305294"/>
    <w:multiLevelType w:val="multilevel"/>
    <w:tmpl w:val="5F3E5BD2"/>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6F874DC6"/>
    <w:multiLevelType w:val="multilevel"/>
    <w:tmpl w:val="E61EA084"/>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69C10A9"/>
    <w:multiLevelType w:val="multilevel"/>
    <w:tmpl w:val="34121BD0"/>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7FC43F8"/>
    <w:multiLevelType w:val="multilevel"/>
    <w:tmpl w:val="7EAE41D4"/>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4"/>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1" w15:restartNumberingAfterBreak="0">
    <w:nsid w:val="79161393"/>
    <w:multiLevelType w:val="hybridMultilevel"/>
    <w:tmpl w:val="2FD444D2"/>
    <w:lvl w:ilvl="0" w:tplc="75525BE6">
      <w:start w:val="1"/>
      <w:numFmt w:val="bullet"/>
      <w:lvlText w:val=""/>
      <w:lvlJc w:val="left"/>
      <w:pPr>
        <w:tabs>
          <w:tab w:val="num" w:pos="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929651F"/>
    <w:multiLevelType w:val="hybridMultilevel"/>
    <w:tmpl w:val="620E131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3" w15:restartNumberingAfterBreak="0">
    <w:nsid w:val="7AEF053B"/>
    <w:multiLevelType w:val="multilevel"/>
    <w:tmpl w:val="CAA0EF00"/>
    <w:lvl w:ilvl="0">
      <w:start w:val="3"/>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44" w15:restartNumberingAfterBreak="0">
    <w:nsid w:val="7C3C63F7"/>
    <w:multiLevelType w:val="multilevel"/>
    <w:tmpl w:val="757EC46C"/>
    <w:lvl w:ilvl="0">
      <w:start w:val="1"/>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15:restartNumberingAfterBreak="0">
    <w:nsid w:val="7EBC4124"/>
    <w:multiLevelType w:val="hybridMultilevel"/>
    <w:tmpl w:val="9144484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15:restartNumberingAfterBreak="0">
    <w:nsid w:val="7FA241D9"/>
    <w:multiLevelType w:val="multilevel"/>
    <w:tmpl w:val="E5B4ECFA"/>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840"/>
        </w:tabs>
        <w:ind w:left="840" w:hanging="720"/>
      </w:pPr>
      <w:rPr>
        <w:rFonts w:hint="default"/>
      </w:rPr>
    </w:lvl>
    <w:lvl w:ilvl="2">
      <w:start w:val="3"/>
      <w:numFmt w:val="decimal"/>
      <w:lvlText w:val="%1.%2.%3"/>
      <w:lvlJc w:val="left"/>
      <w:pPr>
        <w:tabs>
          <w:tab w:val="num" w:pos="960"/>
        </w:tabs>
        <w:ind w:left="960" w:hanging="720"/>
      </w:pPr>
      <w:rPr>
        <w:rFonts w:hint="default"/>
      </w:rPr>
    </w:lvl>
    <w:lvl w:ilvl="3">
      <w:start w:val="1"/>
      <w:numFmt w:val="decimal"/>
      <w:lvlText w:val="%1.%2.%3.%4"/>
      <w:lvlJc w:val="left"/>
      <w:pPr>
        <w:tabs>
          <w:tab w:val="num" w:pos="1080"/>
        </w:tabs>
        <w:ind w:left="1080" w:hanging="72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1680"/>
        </w:tabs>
        <w:ind w:left="1680" w:hanging="108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280"/>
        </w:tabs>
        <w:ind w:left="2280" w:hanging="1440"/>
      </w:pPr>
      <w:rPr>
        <w:rFonts w:hint="default"/>
      </w:rPr>
    </w:lvl>
    <w:lvl w:ilvl="8">
      <w:start w:val="1"/>
      <w:numFmt w:val="decimal"/>
      <w:lvlText w:val="%1.%2.%3.%4.%5.%6.%7.%8.%9"/>
      <w:lvlJc w:val="left"/>
      <w:pPr>
        <w:tabs>
          <w:tab w:val="num" w:pos="2760"/>
        </w:tabs>
        <w:ind w:left="2760" w:hanging="1800"/>
      </w:pPr>
      <w:rPr>
        <w:rFonts w:hint="default"/>
      </w:rPr>
    </w:lvl>
  </w:abstractNum>
  <w:num w:numId="1">
    <w:abstractNumId w:val="19"/>
  </w:num>
  <w:num w:numId="2">
    <w:abstractNumId w:val="41"/>
  </w:num>
  <w:num w:numId="3">
    <w:abstractNumId w:val="28"/>
  </w:num>
  <w:num w:numId="4">
    <w:abstractNumId w:val="8"/>
  </w:num>
  <w:num w:numId="5">
    <w:abstractNumId w:val="20"/>
  </w:num>
  <w:num w:numId="6">
    <w:abstractNumId w:val="2"/>
  </w:num>
  <w:num w:numId="7">
    <w:abstractNumId w:val="43"/>
  </w:num>
  <w:num w:numId="8">
    <w:abstractNumId w:val="29"/>
  </w:num>
  <w:num w:numId="9">
    <w:abstractNumId w:val="17"/>
  </w:num>
  <w:num w:numId="10">
    <w:abstractNumId w:val="38"/>
  </w:num>
  <w:num w:numId="11">
    <w:abstractNumId w:val="21"/>
  </w:num>
  <w:num w:numId="12">
    <w:abstractNumId w:val="27"/>
  </w:num>
  <w:num w:numId="13">
    <w:abstractNumId w:val="5"/>
  </w:num>
  <w:num w:numId="14">
    <w:abstractNumId w:val="44"/>
  </w:num>
  <w:num w:numId="15">
    <w:abstractNumId w:val="36"/>
  </w:num>
  <w:num w:numId="16">
    <w:abstractNumId w:val="9"/>
  </w:num>
  <w:num w:numId="17">
    <w:abstractNumId w:val="34"/>
  </w:num>
  <w:num w:numId="18">
    <w:abstractNumId w:val="15"/>
  </w:num>
  <w:num w:numId="19">
    <w:abstractNumId w:val="30"/>
  </w:num>
  <w:num w:numId="20">
    <w:abstractNumId w:val="13"/>
  </w:num>
  <w:num w:numId="21">
    <w:abstractNumId w:val="18"/>
  </w:num>
  <w:num w:numId="22">
    <w:abstractNumId w:val="1"/>
  </w:num>
  <w:num w:numId="23">
    <w:abstractNumId w:val="46"/>
  </w:num>
  <w:num w:numId="24">
    <w:abstractNumId w:val="40"/>
  </w:num>
  <w:num w:numId="25">
    <w:abstractNumId w:val="25"/>
  </w:num>
  <w:num w:numId="26">
    <w:abstractNumId w:val="37"/>
  </w:num>
  <w:num w:numId="27">
    <w:abstractNumId w:val="3"/>
  </w:num>
  <w:num w:numId="28">
    <w:abstractNumId w:val="14"/>
  </w:num>
  <w:num w:numId="29">
    <w:abstractNumId w:val="39"/>
  </w:num>
  <w:num w:numId="30">
    <w:abstractNumId w:val="24"/>
  </w:num>
  <w:num w:numId="31">
    <w:abstractNumId w:val="10"/>
  </w:num>
  <w:num w:numId="32">
    <w:abstractNumId w:val="42"/>
  </w:num>
  <w:num w:numId="33">
    <w:abstractNumId w:val="45"/>
  </w:num>
  <w:num w:numId="34">
    <w:abstractNumId w:val="22"/>
  </w:num>
  <w:num w:numId="35">
    <w:abstractNumId w:val="32"/>
  </w:num>
  <w:num w:numId="36">
    <w:abstractNumId w:val="31"/>
  </w:num>
  <w:num w:numId="37">
    <w:abstractNumId w:val="7"/>
  </w:num>
  <w:num w:numId="38">
    <w:abstractNumId w:val="6"/>
  </w:num>
  <w:num w:numId="39">
    <w:abstractNumId w:val="23"/>
  </w:num>
  <w:num w:numId="40">
    <w:abstractNumId w:val="11"/>
  </w:num>
  <w:num w:numId="41">
    <w:abstractNumId w:val="4"/>
  </w:num>
  <w:num w:numId="42">
    <w:abstractNumId w:val="35"/>
  </w:num>
  <w:num w:numId="43">
    <w:abstractNumId w:val="12"/>
  </w:num>
  <w:num w:numId="44">
    <w:abstractNumId w:val="0"/>
  </w:num>
  <w:num w:numId="45">
    <w:abstractNumId w:val="26"/>
  </w:num>
  <w:num w:numId="46">
    <w:abstractNumId w:val="16"/>
  </w:num>
  <w:num w:numId="47">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ailey, Scott M">
    <w15:presenceInfo w15:providerId="AD" w15:userId="S-1-5-21-2509641344-1052565914-3260824488-4257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C56"/>
    <w:rsid w:val="0002182E"/>
    <w:rsid w:val="00026640"/>
    <w:rsid w:val="00034813"/>
    <w:rsid w:val="00047B3A"/>
    <w:rsid w:val="00047D8E"/>
    <w:rsid w:val="000525A9"/>
    <w:rsid w:val="00055E2B"/>
    <w:rsid w:val="00060F0F"/>
    <w:rsid w:val="00061C07"/>
    <w:rsid w:val="00066583"/>
    <w:rsid w:val="00075618"/>
    <w:rsid w:val="000759B7"/>
    <w:rsid w:val="000762FD"/>
    <w:rsid w:val="000815AC"/>
    <w:rsid w:val="00081B2E"/>
    <w:rsid w:val="000828F5"/>
    <w:rsid w:val="0008291F"/>
    <w:rsid w:val="00087F06"/>
    <w:rsid w:val="00093162"/>
    <w:rsid w:val="00095217"/>
    <w:rsid w:val="00095555"/>
    <w:rsid w:val="000A16B3"/>
    <w:rsid w:val="000A72D0"/>
    <w:rsid w:val="000B0A6A"/>
    <w:rsid w:val="000C06AD"/>
    <w:rsid w:val="000C0D2D"/>
    <w:rsid w:val="000C2DDE"/>
    <w:rsid w:val="000C30E3"/>
    <w:rsid w:val="000C6D49"/>
    <w:rsid w:val="000C6D7B"/>
    <w:rsid w:val="000D2098"/>
    <w:rsid w:val="000D3DD4"/>
    <w:rsid w:val="000F699E"/>
    <w:rsid w:val="001049FE"/>
    <w:rsid w:val="00104E75"/>
    <w:rsid w:val="00105B34"/>
    <w:rsid w:val="0011250B"/>
    <w:rsid w:val="001139CF"/>
    <w:rsid w:val="0012338B"/>
    <w:rsid w:val="00123ECC"/>
    <w:rsid w:val="0012657F"/>
    <w:rsid w:val="0013190D"/>
    <w:rsid w:val="00137A9F"/>
    <w:rsid w:val="00150172"/>
    <w:rsid w:val="00151FFC"/>
    <w:rsid w:val="0015551C"/>
    <w:rsid w:val="00161342"/>
    <w:rsid w:val="001642F3"/>
    <w:rsid w:val="00171848"/>
    <w:rsid w:val="00176245"/>
    <w:rsid w:val="00177C84"/>
    <w:rsid w:val="00181E1C"/>
    <w:rsid w:val="001902F9"/>
    <w:rsid w:val="00192746"/>
    <w:rsid w:val="0019297B"/>
    <w:rsid w:val="001A0126"/>
    <w:rsid w:val="001A274D"/>
    <w:rsid w:val="001A28E6"/>
    <w:rsid w:val="001A679E"/>
    <w:rsid w:val="001B2992"/>
    <w:rsid w:val="001B64DC"/>
    <w:rsid w:val="001C156C"/>
    <w:rsid w:val="001C1732"/>
    <w:rsid w:val="001C4BBA"/>
    <w:rsid w:val="001C5CDF"/>
    <w:rsid w:val="001D2E8C"/>
    <w:rsid w:val="001D5FD0"/>
    <w:rsid w:val="001E0235"/>
    <w:rsid w:val="001E3C08"/>
    <w:rsid w:val="001E6F3C"/>
    <w:rsid w:val="001E7AB3"/>
    <w:rsid w:val="001F01FD"/>
    <w:rsid w:val="001F0E3F"/>
    <w:rsid w:val="001F7668"/>
    <w:rsid w:val="00200212"/>
    <w:rsid w:val="00203049"/>
    <w:rsid w:val="00207D07"/>
    <w:rsid w:val="002212D7"/>
    <w:rsid w:val="002212ED"/>
    <w:rsid w:val="002213FB"/>
    <w:rsid w:val="00226DE1"/>
    <w:rsid w:val="00227132"/>
    <w:rsid w:val="00230790"/>
    <w:rsid w:val="00232C8A"/>
    <w:rsid w:val="00233C40"/>
    <w:rsid w:val="0023446E"/>
    <w:rsid w:val="00237C73"/>
    <w:rsid w:val="00241D2A"/>
    <w:rsid w:val="002424A5"/>
    <w:rsid w:val="00242E6E"/>
    <w:rsid w:val="00251CC8"/>
    <w:rsid w:val="00255824"/>
    <w:rsid w:val="00255D2F"/>
    <w:rsid w:val="002570AD"/>
    <w:rsid w:val="0026771C"/>
    <w:rsid w:val="0027321D"/>
    <w:rsid w:val="00273280"/>
    <w:rsid w:val="0027489B"/>
    <w:rsid w:val="002870FB"/>
    <w:rsid w:val="00291EE5"/>
    <w:rsid w:val="00292163"/>
    <w:rsid w:val="002921F4"/>
    <w:rsid w:val="00292C51"/>
    <w:rsid w:val="00292C56"/>
    <w:rsid w:val="002A0434"/>
    <w:rsid w:val="002A08AB"/>
    <w:rsid w:val="002A224E"/>
    <w:rsid w:val="002A4314"/>
    <w:rsid w:val="002A43F6"/>
    <w:rsid w:val="002A7155"/>
    <w:rsid w:val="002B1753"/>
    <w:rsid w:val="002C2F6D"/>
    <w:rsid w:val="002C736E"/>
    <w:rsid w:val="002D16A3"/>
    <w:rsid w:val="002D2574"/>
    <w:rsid w:val="002D747C"/>
    <w:rsid w:val="002E1629"/>
    <w:rsid w:val="002E7DD1"/>
    <w:rsid w:val="002F2334"/>
    <w:rsid w:val="00304BD5"/>
    <w:rsid w:val="00305412"/>
    <w:rsid w:val="00305F42"/>
    <w:rsid w:val="0030600D"/>
    <w:rsid w:val="00311A7B"/>
    <w:rsid w:val="00335306"/>
    <w:rsid w:val="003404E5"/>
    <w:rsid w:val="00350356"/>
    <w:rsid w:val="00352C1D"/>
    <w:rsid w:val="003608C7"/>
    <w:rsid w:val="003654B6"/>
    <w:rsid w:val="003660F0"/>
    <w:rsid w:val="003664D5"/>
    <w:rsid w:val="00366DA0"/>
    <w:rsid w:val="00372329"/>
    <w:rsid w:val="003747AE"/>
    <w:rsid w:val="0039095C"/>
    <w:rsid w:val="003A6429"/>
    <w:rsid w:val="003A6D81"/>
    <w:rsid w:val="003A78B2"/>
    <w:rsid w:val="003B4D09"/>
    <w:rsid w:val="003C16A5"/>
    <w:rsid w:val="003C4F43"/>
    <w:rsid w:val="003D3653"/>
    <w:rsid w:val="003D3FF8"/>
    <w:rsid w:val="003D4997"/>
    <w:rsid w:val="003D5CC4"/>
    <w:rsid w:val="003E305C"/>
    <w:rsid w:val="003E39BA"/>
    <w:rsid w:val="003E434D"/>
    <w:rsid w:val="003F0CA4"/>
    <w:rsid w:val="003F1809"/>
    <w:rsid w:val="003F50AC"/>
    <w:rsid w:val="00401B21"/>
    <w:rsid w:val="004118D3"/>
    <w:rsid w:val="00414F0F"/>
    <w:rsid w:val="00417A10"/>
    <w:rsid w:val="0042342A"/>
    <w:rsid w:val="00427A8A"/>
    <w:rsid w:val="00430341"/>
    <w:rsid w:val="00437804"/>
    <w:rsid w:val="004528AF"/>
    <w:rsid w:val="00457D9A"/>
    <w:rsid w:val="00476C4F"/>
    <w:rsid w:val="0048216F"/>
    <w:rsid w:val="00483BB9"/>
    <w:rsid w:val="0048458B"/>
    <w:rsid w:val="004872AD"/>
    <w:rsid w:val="00487371"/>
    <w:rsid w:val="00493C1B"/>
    <w:rsid w:val="00494875"/>
    <w:rsid w:val="004A36C6"/>
    <w:rsid w:val="004B27E0"/>
    <w:rsid w:val="004B5941"/>
    <w:rsid w:val="004B7137"/>
    <w:rsid w:val="004C02F6"/>
    <w:rsid w:val="004C1E37"/>
    <w:rsid w:val="004C4113"/>
    <w:rsid w:val="004D2F18"/>
    <w:rsid w:val="004E25CA"/>
    <w:rsid w:val="004E6096"/>
    <w:rsid w:val="004F47BB"/>
    <w:rsid w:val="0050240E"/>
    <w:rsid w:val="005052AB"/>
    <w:rsid w:val="0053022E"/>
    <w:rsid w:val="0053285F"/>
    <w:rsid w:val="00546A3C"/>
    <w:rsid w:val="00547175"/>
    <w:rsid w:val="00547631"/>
    <w:rsid w:val="00547E5B"/>
    <w:rsid w:val="00554B5C"/>
    <w:rsid w:val="00561A9F"/>
    <w:rsid w:val="00564857"/>
    <w:rsid w:val="00571733"/>
    <w:rsid w:val="005738F6"/>
    <w:rsid w:val="00575EC1"/>
    <w:rsid w:val="00582B81"/>
    <w:rsid w:val="00586A81"/>
    <w:rsid w:val="00586ADD"/>
    <w:rsid w:val="00587172"/>
    <w:rsid w:val="005922D2"/>
    <w:rsid w:val="00592FCF"/>
    <w:rsid w:val="00593DDC"/>
    <w:rsid w:val="005A2C5B"/>
    <w:rsid w:val="005A313D"/>
    <w:rsid w:val="005A3C34"/>
    <w:rsid w:val="005B0F74"/>
    <w:rsid w:val="005B6DE2"/>
    <w:rsid w:val="005C188A"/>
    <w:rsid w:val="005C56A2"/>
    <w:rsid w:val="005D2213"/>
    <w:rsid w:val="005E4BC0"/>
    <w:rsid w:val="005E68BC"/>
    <w:rsid w:val="005F11D2"/>
    <w:rsid w:val="00600FF5"/>
    <w:rsid w:val="006068D9"/>
    <w:rsid w:val="006214FD"/>
    <w:rsid w:val="0062327D"/>
    <w:rsid w:val="0062516A"/>
    <w:rsid w:val="00631336"/>
    <w:rsid w:val="00634766"/>
    <w:rsid w:val="0063564C"/>
    <w:rsid w:val="00636CB4"/>
    <w:rsid w:val="00643040"/>
    <w:rsid w:val="00655AE8"/>
    <w:rsid w:val="00657DB3"/>
    <w:rsid w:val="00660BE4"/>
    <w:rsid w:val="00663524"/>
    <w:rsid w:val="00686DEB"/>
    <w:rsid w:val="006959E2"/>
    <w:rsid w:val="006A0A28"/>
    <w:rsid w:val="006B202E"/>
    <w:rsid w:val="006B54B6"/>
    <w:rsid w:val="006B7F86"/>
    <w:rsid w:val="006C4AED"/>
    <w:rsid w:val="006C6B63"/>
    <w:rsid w:val="006D5C52"/>
    <w:rsid w:val="006D6793"/>
    <w:rsid w:val="006E4A7A"/>
    <w:rsid w:val="006E4B97"/>
    <w:rsid w:val="006F4837"/>
    <w:rsid w:val="006F50BB"/>
    <w:rsid w:val="006F59D3"/>
    <w:rsid w:val="006F6BB6"/>
    <w:rsid w:val="00701E42"/>
    <w:rsid w:val="007063EE"/>
    <w:rsid w:val="00707B12"/>
    <w:rsid w:val="0071082F"/>
    <w:rsid w:val="007146B2"/>
    <w:rsid w:val="0071688A"/>
    <w:rsid w:val="007209D4"/>
    <w:rsid w:val="00725C7B"/>
    <w:rsid w:val="0073007F"/>
    <w:rsid w:val="007300B6"/>
    <w:rsid w:val="0073318B"/>
    <w:rsid w:val="00734341"/>
    <w:rsid w:val="00734344"/>
    <w:rsid w:val="0074448B"/>
    <w:rsid w:val="00744532"/>
    <w:rsid w:val="00745AB2"/>
    <w:rsid w:val="00745DF2"/>
    <w:rsid w:val="00755032"/>
    <w:rsid w:val="00761388"/>
    <w:rsid w:val="00783820"/>
    <w:rsid w:val="0079227A"/>
    <w:rsid w:val="007973BE"/>
    <w:rsid w:val="007A59A5"/>
    <w:rsid w:val="007C3234"/>
    <w:rsid w:val="007D1C0A"/>
    <w:rsid w:val="007E4606"/>
    <w:rsid w:val="007F2295"/>
    <w:rsid w:val="007F34C3"/>
    <w:rsid w:val="007F5870"/>
    <w:rsid w:val="00802E74"/>
    <w:rsid w:val="0080717F"/>
    <w:rsid w:val="00820F27"/>
    <w:rsid w:val="00824B33"/>
    <w:rsid w:val="00833F9A"/>
    <w:rsid w:val="0084589A"/>
    <w:rsid w:val="00845F74"/>
    <w:rsid w:val="008506EF"/>
    <w:rsid w:val="00855CC0"/>
    <w:rsid w:val="008561AA"/>
    <w:rsid w:val="00867047"/>
    <w:rsid w:val="0086739C"/>
    <w:rsid w:val="0086784B"/>
    <w:rsid w:val="00870B3C"/>
    <w:rsid w:val="00874795"/>
    <w:rsid w:val="0087741E"/>
    <w:rsid w:val="00890FE4"/>
    <w:rsid w:val="008910A7"/>
    <w:rsid w:val="00897FF5"/>
    <w:rsid w:val="008B179F"/>
    <w:rsid w:val="008B24E3"/>
    <w:rsid w:val="008B421E"/>
    <w:rsid w:val="008C3F06"/>
    <w:rsid w:val="008C6991"/>
    <w:rsid w:val="008C7171"/>
    <w:rsid w:val="008D53C3"/>
    <w:rsid w:val="008E0E55"/>
    <w:rsid w:val="008E65D7"/>
    <w:rsid w:val="008E6F6A"/>
    <w:rsid w:val="00913389"/>
    <w:rsid w:val="00914AE9"/>
    <w:rsid w:val="009317B8"/>
    <w:rsid w:val="009357F1"/>
    <w:rsid w:val="00937008"/>
    <w:rsid w:val="00937D91"/>
    <w:rsid w:val="009418F2"/>
    <w:rsid w:val="009424B3"/>
    <w:rsid w:val="009430A6"/>
    <w:rsid w:val="009464A3"/>
    <w:rsid w:val="00952864"/>
    <w:rsid w:val="0095737F"/>
    <w:rsid w:val="00962EA0"/>
    <w:rsid w:val="00965FB7"/>
    <w:rsid w:val="00975D4D"/>
    <w:rsid w:val="00977E87"/>
    <w:rsid w:val="00987921"/>
    <w:rsid w:val="00993D0F"/>
    <w:rsid w:val="00995EB0"/>
    <w:rsid w:val="009960F1"/>
    <w:rsid w:val="009A2F23"/>
    <w:rsid w:val="009A58E3"/>
    <w:rsid w:val="009A6E88"/>
    <w:rsid w:val="009B02A5"/>
    <w:rsid w:val="009B1D56"/>
    <w:rsid w:val="009B723F"/>
    <w:rsid w:val="009B7471"/>
    <w:rsid w:val="009B7D71"/>
    <w:rsid w:val="009D5655"/>
    <w:rsid w:val="009E44D7"/>
    <w:rsid w:val="009E5C3A"/>
    <w:rsid w:val="009F316E"/>
    <w:rsid w:val="00A056A2"/>
    <w:rsid w:val="00A2619F"/>
    <w:rsid w:val="00A31B96"/>
    <w:rsid w:val="00A35158"/>
    <w:rsid w:val="00A36CD5"/>
    <w:rsid w:val="00A37523"/>
    <w:rsid w:val="00A4019C"/>
    <w:rsid w:val="00A42D5E"/>
    <w:rsid w:val="00A57AC7"/>
    <w:rsid w:val="00A6731A"/>
    <w:rsid w:val="00A72B5D"/>
    <w:rsid w:val="00A739CF"/>
    <w:rsid w:val="00A745CB"/>
    <w:rsid w:val="00A87F31"/>
    <w:rsid w:val="00A950AF"/>
    <w:rsid w:val="00AA2265"/>
    <w:rsid w:val="00AB2F86"/>
    <w:rsid w:val="00AD77BE"/>
    <w:rsid w:val="00AE65DA"/>
    <w:rsid w:val="00AE7238"/>
    <w:rsid w:val="00AE75BD"/>
    <w:rsid w:val="00AF0B17"/>
    <w:rsid w:val="00B00132"/>
    <w:rsid w:val="00B10776"/>
    <w:rsid w:val="00B1483F"/>
    <w:rsid w:val="00B14936"/>
    <w:rsid w:val="00B14C4F"/>
    <w:rsid w:val="00B15E2C"/>
    <w:rsid w:val="00B16467"/>
    <w:rsid w:val="00B179BA"/>
    <w:rsid w:val="00B20C76"/>
    <w:rsid w:val="00B24907"/>
    <w:rsid w:val="00B26D39"/>
    <w:rsid w:val="00B32362"/>
    <w:rsid w:val="00B44045"/>
    <w:rsid w:val="00B4739B"/>
    <w:rsid w:val="00B5367C"/>
    <w:rsid w:val="00B60370"/>
    <w:rsid w:val="00B607F0"/>
    <w:rsid w:val="00B6117C"/>
    <w:rsid w:val="00B644F7"/>
    <w:rsid w:val="00B66E1B"/>
    <w:rsid w:val="00B67814"/>
    <w:rsid w:val="00B7143D"/>
    <w:rsid w:val="00B750ED"/>
    <w:rsid w:val="00B7594B"/>
    <w:rsid w:val="00B8709F"/>
    <w:rsid w:val="00B90385"/>
    <w:rsid w:val="00BA57BA"/>
    <w:rsid w:val="00BB19B9"/>
    <w:rsid w:val="00BC54DB"/>
    <w:rsid w:val="00BC5670"/>
    <w:rsid w:val="00BC686D"/>
    <w:rsid w:val="00BC7DEF"/>
    <w:rsid w:val="00BE1E27"/>
    <w:rsid w:val="00BE2C6A"/>
    <w:rsid w:val="00BE753F"/>
    <w:rsid w:val="00BF0448"/>
    <w:rsid w:val="00BF1B92"/>
    <w:rsid w:val="00BF46B4"/>
    <w:rsid w:val="00BF5934"/>
    <w:rsid w:val="00BF5AB9"/>
    <w:rsid w:val="00C032F7"/>
    <w:rsid w:val="00C05814"/>
    <w:rsid w:val="00C05B90"/>
    <w:rsid w:val="00C108D8"/>
    <w:rsid w:val="00C11359"/>
    <w:rsid w:val="00C20266"/>
    <w:rsid w:val="00C2058A"/>
    <w:rsid w:val="00C22B87"/>
    <w:rsid w:val="00C25690"/>
    <w:rsid w:val="00C30824"/>
    <w:rsid w:val="00C31215"/>
    <w:rsid w:val="00C36A1F"/>
    <w:rsid w:val="00C40E84"/>
    <w:rsid w:val="00C43C6A"/>
    <w:rsid w:val="00C46ED9"/>
    <w:rsid w:val="00C5163B"/>
    <w:rsid w:val="00C6504F"/>
    <w:rsid w:val="00C71C28"/>
    <w:rsid w:val="00C81E83"/>
    <w:rsid w:val="00C82555"/>
    <w:rsid w:val="00C82E0B"/>
    <w:rsid w:val="00C872B3"/>
    <w:rsid w:val="00C901CC"/>
    <w:rsid w:val="00C93BA7"/>
    <w:rsid w:val="00C97A4A"/>
    <w:rsid w:val="00C97B1A"/>
    <w:rsid w:val="00CA0BE4"/>
    <w:rsid w:val="00CA1B55"/>
    <w:rsid w:val="00CA6438"/>
    <w:rsid w:val="00CA68A4"/>
    <w:rsid w:val="00CB0CB2"/>
    <w:rsid w:val="00CC0F5F"/>
    <w:rsid w:val="00CC2243"/>
    <w:rsid w:val="00CD1BFB"/>
    <w:rsid w:val="00CD43C5"/>
    <w:rsid w:val="00CE5D80"/>
    <w:rsid w:val="00CF0F0C"/>
    <w:rsid w:val="00CF258B"/>
    <w:rsid w:val="00CF2C8D"/>
    <w:rsid w:val="00D03719"/>
    <w:rsid w:val="00D135C3"/>
    <w:rsid w:val="00D2274A"/>
    <w:rsid w:val="00D2683E"/>
    <w:rsid w:val="00D30BC1"/>
    <w:rsid w:val="00D335D3"/>
    <w:rsid w:val="00D35C1E"/>
    <w:rsid w:val="00D35E08"/>
    <w:rsid w:val="00D3768C"/>
    <w:rsid w:val="00D56B61"/>
    <w:rsid w:val="00D67BF1"/>
    <w:rsid w:val="00D70889"/>
    <w:rsid w:val="00D716A7"/>
    <w:rsid w:val="00D7262F"/>
    <w:rsid w:val="00D741EE"/>
    <w:rsid w:val="00D7649E"/>
    <w:rsid w:val="00D839CC"/>
    <w:rsid w:val="00D85D12"/>
    <w:rsid w:val="00D91999"/>
    <w:rsid w:val="00DA262B"/>
    <w:rsid w:val="00DA5AFA"/>
    <w:rsid w:val="00DA5B6D"/>
    <w:rsid w:val="00DA6C9C"/>
    <w:rsid w:val="00DB5D3C"/>
    <w:rsid w:val="00DB6E34"/>
    <w:rsid w:val="00DC30B8"/>
    <w:rsid w:val="00DD0DD7"/>
    <w:rsid w:val="00DD1EB6"/>
    <w:rsid w:val="00DD3DE9"/>
    <w:rsid w:val="00DD788C"/>
    <w:rsid w:val="00DE317E"/>
    <w:rsid w:val="00DE37CA"/>
    <w:rsid w:val="00DE6E5A"/>
    <w:rsid w:val="00DE7C4B"/>
    <w:rsid w:val="00DF0B0F"/>
    <w:rsid w:val="00DF29E1"/>
    <w:rsid w:val="00DF33F0"/>
    <w:rsid w:val="00DF4DEF"/>
    <w:rsid w:val="00DF58F5"/>
    <w:rsid w:val="00E034DF"/>
    <w:rsid w:val="00E04F47"/>
    <w:rsid w:val="00E161C7"/>
    <w:rsid w:val="00E16A90"/>
    <w:rsid w:val="00E20B66"/>
    <w:rsid w:val="00E34576"/>
    <w:rsid w:val="00E4049C"/>
    <w:rsid w:val="00E4696D"/>
    <w:rsid w:val="00E56D2D"/>
    <w:rsid w:val="00E61442"/>
    <w:rsid w:val="00E70A9E"/>
    <w:rsid w:val="00E75BA2"/>
    <w:rsid w:val="00E76C84"/>
    <w:rsid w:val="00E76F64"/>
    <w:rsid w:val="00E77025"/>
    <w:rsid w:val="00E81095"/>
    <w:rsid w:val="00E8295E"/>
    <w:rsid w:val="00E86E7A"/>
    <w:rsid w:val="00E87868"/>
    <w:rsid w:val="00E9478A"/>
    <w:rsid w:val="00E95986"/>
    <w:rsid w:val="00E97D4B"/>
    <w:rsid w:val="00EA7A0B"/>
    <w:rsid w:val="00EB56A9"/>
    <w:rsid w:val="00EB5B27"/>
    <w:rsid w:val="00EC1102"/>
    <w:rsid w:val="00EC13CF"/>
    <w:rsid w:val="00EC1681"/>
    <w:rsid w:val="00ED0336"/>
    <w:rsid w:val="00ED2968"/>
    <w:rsid w:val="00ED307F"/>
    <w:rsid w:val="00EE4E0E"/>
    <w:rsid w:val="00EF0BA4"/>
    <w:rsid w:val="00EF3662"/>
    <w:rsid w:val="00EF53C2"/>
    <w:rsid w:val="00EF6731"/>
    <w:rsid w:val="00F05034"/>
    <w:rsid w:val="00F06523"/>
    <w:rsid w:val="00F0655A"/>
    <w:rsid w:val="00F10182"/>
    <w:rsid w:val="00F10881"/>
    <w:rsid w:val="00F12D54"/>
    <w:rsid w:val="00F20C38"/>
    <w:rsid w:val="00F2132A"/>
    <w:rsid w:val="00F22068"/>
    <w:rsid w:val="00F238DC"/>
    <w:rsid w:val="00F27A46"/>
    <w:rsid w:val="00F36E11"/>
    <w:rsid w:val="00F4055D"/>
    <w:rsid w:val="00F43194"/>
    <w:rsid w:val="00F5588D"/>
    <w:rsid w:val="00F62652"/>
    <w:rsid w:val="00F73EB5"/>
    <w:rsid w:val="00F743D0"/>
    <w:rsid w:val="00F759C2"/>
    <w:rsid w:val="00F7722C"/>
    <w:rsid w:val="00F80FA0"/>
    <w:rsid w:val="00F85FF7"/>
    <w:rsid w:val="00F8741A"/>
    <w:rsid w:val="00F878AE"/>
    <w:rsid w:val="00F91076"/>
    <w:rsid w:val="00F92C25"/>
    <w:rsid w:val="00F95E15"/>
    <w:rsid w:val="00FA492B"/>
    <w:rsid w:val="00FA53D9"/>
    <w:rsid w:val="00FB300D"/>
    <w:rsid w:val="00FB4B62"/>
    <w:rsid w:val="00FC3498"/>
    <w:rsid w:val="00FC72D3"/>
    <w:rsid w:val="00FD5A4F"/>
    <w:rsid w:val="00FD67E4"/>
    <w:rsid w:val="00FE1E31"/>
    <w:rsid w:val="00FE1FD1"/>
    <w:rsid w:val="00FF26F8"/>
    <w:rsid w:val="00FF3932"/>
    <w:rsid w:val="00FF563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72B9914"/>
  <w15:docId w15:val="{8733842F-6D9D-4C95-8C02-E80C50011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outlineLvl w:val="0"/>
    </w:pPr>
    <w:rPr>
      <w:rFonts w:ascii="Arial" w:hAnsi="Arial" w:cs="Arial"/>
      <w:b/>
      <w:bCs/>
      <w:sz w:val="20"/>
    </w:rPr>
  </w:style>
  <w:style w:type="paragraph" w:styleId="Heading2">
    <w:name w:val="heading 2"/>
    <w:basedOn w:val="Normal"/>
    <w:next w:val="Normal"/>
    <w:link w:val="Heading2Char"/>
    <w:qFormat/>
    <w:pPr>
      <w:keepNext/>
      <w:outlineLvl w:val="1"/>
    </w:pPr>
    <w:rPr>
      <w:rFonts w:ascii="Arial" w:hAnsi="Arial" w:cs="Arial"/>
      <w:b/>
      <w:bCs/>
    </w:rPr>
  </w:style>
  <w:style w:type="paragraph" w:styleId="Heading3">
    <w:name w:val="heading 3"/>
    <w:basedOn w:val="Normal"/>
    <w:next w:val="Normal"/>
    <w:qFormat/>
    <w:pPr>
      <w:keepNext/>
      <w:ind w:left="5760"/>
      <w:outlineLvl w:val="2"/>
    </w:pPr>
    <w:rPr>
      <w:rFonts w:ascii="Arial" w:hAnsi="Arial" w:cs="Arial"/>
      <w:b/>
      <w:bCs/>
      <w:color w:val="660000"/>
      <w:szCs w:val="36"/>
    </w:rPr>
  </w:style>
  <w:style w:type="paragraph" w:styleId="Heading4">
    <w:name w:val="heading 4"/>
    <w:basedOn w:val="Normal"/>
    <w:next w:val="Normal"/>
    <w:link w:val="Heading4Char"/>
    <w:qFormat/>
    <w:pPr>
      <w:keepNext/>
      <w:outlineLvl w:val="3"/>
    </w:pPr>
    <w:rPr>
      <w:rFonts w:ascii="Arial" w:hAnsi="Arial" w:cs="Arial"/>
      <w:color w:val="660000"/>
      <w:sz w:val="22"/>
      <w:szCs w:val="36"/>
    </w:rPr>
  </w:style>
  <w:style w:type="paragraph" w:styleId="Heading5">
    <w:name w:val="heading 5"/>
    <w:basedOn w:val="Normal"/>
    <w:next w:val="Normal"/>
    <w:qFormat/>
    <w:pPr>
      <w:keepNext/>
      <w:jc w:val="center"/>
      <w:outlineLvl w:val="4"/>
    </w:pPr>
    <w:rPr>
      <w:rFonts w:ascii="Arial" w:hAnsi="Arial" w:cs="Arial"/>
      <w:b/>
      <w:bCs/>
      <w:color w:val="660000"/>
      <w:sz w:val="36"/>
      <w:szCs w:val="36"/>
    </w:rPr>
  </w:style>
  <w:style w:type="paragraph" w:styleId="Heading6">
    <w:name w:val="heading 6"/>
    <w:basedOn w:val="Normal"/>
    <w:next w:val="Normal"/>
    <w:qFormat/>
    <w:pPr>
      <w:keepNext/>
      <w:jc w:val="center"/>
      <w:outlineLvl w:val="5"/>
    </w:pPr>
    <w:rPr>
      <w:rFonts w:ascii="Arial" w:hAnsi="Arial" w:cs="Arial"/>
      <w:b/>
      <w:bCs/>
      <w:color w:val="0000FF"/>
      <w:sz w:val="40"/>
      <w:szCs w:val="36"/>
      <w:u w:val="single"/>
    </w:rPr>
  </w:style>
  <w:style w:type="paragraph" w:styleId="Heading7">
    <w:name w:val="heading 7"/>
    <w:basedOn w:val="Normal"/>
    <w:next w:val="Normal"/>
    <w:qFormat/>
    <w:pPr>
      <w:keepNext/>
      <w:jc w:val="center"/>
      <w:outlineLvl w:val="6"/>
    </w:pPr>
    <w:rPr>
      <w:rFonts w:ascii="Arial" w:hAnsi="Arial" w:cs="Arial"/>
      <w:b/>
      <w:bCs/>
      <w:color w:val="3366FF"/>
      <w:sz w:val="40"/>
      <w:szCs w:val="36"/>
    </w:rPr>
  </w:style>
  <w:style w:type="paragraph" w:styleId="Heading8">
    <w:name w:val="heading 8"/>
    <w:basedOn w:val="Normal"/>
    <w:next w:val="Normal"/>
    <w:link w:val="Heading8Char"/>
    <w:qFormat/>
    <w:pPr>
      <w:keepNext/>
      <w:outlineLvl w:val="7"/>
    </w:pPr>
    <w:rPr>
      <w:rFonts w:ascii="Arial" w:hAnsi="Arial" w:cs="Arial"/>
      <w:b/>
      <w:bCs/>
      <w:sz w:val="22"/>
    </w:rPr>
  </w:style>
  <w:style w:type="paragraph" w:styleId="Heading9">
    <w:name w:val="heading 9"/>
    <w:basedOn w:val="Normal"/>
    <w:next w:val="Normal"/>
    <w:link w:val="Heading9Char"/>
    <w:qFormat/>
    <w:pPr>
      <w:keepNext/>
      <w:autoSpaceDE w:val="0"/>
      <w:autoSpaceDN w:val="0"/>
      <w:adjustRightInd w:val="0"/>
      <w:jc w:val="center"/>
      <w:outlineLvl w:val="8"/>
    </w:pPr>
    <w:rPr>
      <w:rFonts w:ascii="Arial" w:hAnsi="Arial" w:cs="Arial"/>
      <w:b/>
      <w:bCs/>
      <w:sz w:val="2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rFonts w:ascii="Arial" w:hAnsi="Arial" w:cs="Arial" w:hint="default"/>
      <w:color w:val="003366"/>
      <w:u w:val="single"/>
      <w:shd w:val="clear" w:color="auto" w:fill="auto"/>
    </w:rPr>
  </w:style>
  <w:style w:type="paragraph" w:styleId="NormalWeb">
    <w:name w:val="Normal (Web)"/>
    <w:basedOn w:val="Normal"/>
    <w:uiPriority w:val="99"/>
    <w:pPr>
      <w:spacing w:before="100" w:beforeAutospacing="1" w:after="100" w:afterAutospacing="1"/>
    </w:pPr>
    <w:rPr>
      <w:rFonts w:ascii="Arial" w:hAnsi="Arial" w:cs="Arial"/>
      <w:color w:val="000000"/>
      <w:sz w:val="20"/>
      <w:szCs w:val="20"/>
    </w:rPr>
  </w:style>
  <w:style w:type="character" w:customStyle="1" w:styleId="header2green">
    <w:name w:val="header2_green"/>
    <w:basedOn w:val="DefaultParagraphFont"/>
  </w:style>
  <w:style w:type="character" w:styleId="Emphasis">
    <w:name w:val="Emphasis"/>
    <w:qFormat/>
    <w:rPr>
      <w:i/>
      <w:iCs/>
    </w:rPr>
  </w:style>
  <w:style w:type="character" w:customStyle="1" w:styleId="header3dkblue">
    <w:name w:val="header3_dkblue"/>
    <w:basedOn w:val="DefaultParagraphFont"/>
  </w:style>
  <w:style w:type="character" w:styleId="Strong">
    <w:name w:val="Strong"/>
    <w:qFormat/>
    <w:rPr>
      <w:b/>
      <w:bCs/>
    </w:rPr>
  </w:style>
  <w:style w:type="character" w:customStyle="1" w:styleId="header3burg">
    <w:name w:val="header3_burg"/>
    <w:basedOn w:val="DefaultParagraphFont"/>
  </w:style>
  <w:style w:type="character" w:styleId="FollowedHyperlink">
    <w:name w:val="FollowedHyperlink"/>
    <w:rPr>
      <w:color w:val="800080"/>
      <w:u w:val="single"/>
    </w:r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Pr>
      <w:rFonts w:ascii="Arial" w:hAnsi="Arial" w:cs="Arial"/>
      <w:sz w:val="20"/>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BodyText2">
    <w:name w:val="Body Text 2"/>
    <w:basedOn w:val="Normal"/>
    <w:pPr>
      <w:jc w:val="center"/>
    </w:pPr>
    <w:rPr>
      <w:rFonts w:ascii="Arial" w:hAnsi="Arial" w:cs="Arial"/>
      <w:b/>
      <w:bCs/>
      <w:color w:val="660000"/>
      <w:sz w:val="40"/>
      <w:szCs w:val="36"/>
    </w:rPr>
  </w:style>
  <w:style w:type="paragraph" w:styleId="BalloonText">
    <w:name w:val="Balloon Text"/>
    <w:basedOn w:val="Normal"/>
    <w:link w:val="BalloonTextChar"/>
    <w:semiHidden/>
    <w:rPr>
      <w:rFonts w:ascii="Tahoma" w:hAnsi="Tahoma" w:cs="Tahoma"/>
      <w:sz w:val="16"/>
      <w:szCs w:val="16"/>
    </w:rPr>
  </w:style>
  <w:style w:type="paragraph" w:styleId="BodyText3">
    <w:name w:val="Body Text 3"/>
    <w:basedOn w:val="Normal"/>
    <w:link w:val="BodyText3Char"/>
    <w:rPr>
      <w:rFonts w:ascii="Arial" w:hAnsi="Arial" w:cs="Arial"/>
      <w:i/>
      <w:iCs/>
      <w:sz w:val="20"/>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Header">
    <w:name w:val="head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cs="Tahoma"/>
    </w:rPr>
  </w:style>
  <w:style w:type="character" w:customStyle="1" w:styleId="header2medblue">
    <w:name w:val="header2_medblue"/>
    <w:basedOn w:val="DefaultParagraphFont"/>
  </w:style>
  <w:style w:type="paragraph" w:customStyle="1" w:styleId="font5">
    <w:name w:val="font5"/>
    <w:basedOn w:val="Normal"/>
    <w:pPr>
      <w:spacing w:before="100" w:beforeAutospacing="1" w:after="100" w:afterAutospacing="1"/>
    </w:pPr>
    <w:rPr>
      <w:rFonts w:eastAsia="Arial Unicode MS"/>
      <w:sz w:val="16"/>
      <w:szCs w:val="16"/>
    </w:rPr>
  </w:style>
  <w:style w:type="paragraph" w:styleId="Title">
    <w:name w:val="Title"/>
    <w:basedOn w:val="Normal"/>
    <w:link w:val="TitleChar"/>
    <w:qFormat/>
    <w:pPr>
      <w:jc w:val="center"/>
    </w:pPr>
    <w:rPr>
      <w:rFonts w:ascii="Arial" w:hAnsi="Arial" w:cs="Arial"/>
      <w:b/>
      <w:bCs/>
      <w:sz w:val="36"/>
    </w:rPr>
  </w:style>
  <w:style w:type="paragraph" w:styleId="BodyTextIndent">
    <w:name w:val="Body Text Indent"/>
    <w:basedOn w:val="Normal"/>
    <w:pPr>
      <w:ind w:hanging="15"/>
    </w:pPr>
    <w:rPr>
      <w:rFonts w:ascii="Arial" w:hAnsi="Arial" w:cs="Arial"/>
      <w:sz w:val="20"/>
      <w:szCs w:val="22"/>
    </w:rPr>
  </w:style>
  <w:style w:type="paragraph" w:styleId="BodyTextIndent2">
    <w:name w:val="Body Text Indent 2"/>
    <w:basedOn w:val="Normal"/>
    <w:pPr>
      <w:ind w:left="360"/>
    </w:pPr>
    <w:rPr>
      <w:rFonts w:ascii="Arial" w:hAnsi="Arial" w:cs="Arial"/>
      <w:sz w:val="20"/>
    </w:rPr>
  </w:style>
  <w:style w:type="paragraph" w:styleId="Subtitle">
    <w:name w:val="Subtitle"/>
    <w:basedOn w:val="Normal"/>
    <w:link w:val="SubtitleChar"/>
    <w:qFormat/>
    <w:pPr>
      <w:spacing w:before="60" w:after="60"/>
    </w:pPr>
    <w:rPr>
      <w:rFonts w:ascii="Arial" w:eastAsia="Arial Unicode MS" w:hAnsi="Arial" w:cs="Arial"/>
      <w:b/>
      <w:sz w:val="20"/>
      <w:szCs w:val="18"/>
    </w:rPr>
  </w:style>
  <w:style w:type="paragraph" w:styleId="CommentSubject">
    <w:name w:val="annotation subject"/>
    <w:basedOn w:val="CommentText"/>
    <w:next w:val="CommentText"/>
    <w:semiHidden/>
    <w:rsid w:val="00E20B66"/>
    <w:rPr>
      <w:b/>
      <w:bCs/>
    </w:rPr>
  </w:style>
  <w:style w:type="paragraph" w:customStyle="1" w:styleId="Els-body-text">
    <w:name w:val="Els-body-text"/>
    <w:rsid w:val="00A35158"/>
    <w:pPr>
      <w:spacing w:line="240" w:lineRule="exact"/>
      <w:ind w:firstLine="238"/>
      <w:jc w:val="both"/>
    </w:pPr>
    <w:rPr>
      <w:rFonts w:eastAsia="SimSun"/>
      <w:lang w:val="en-US" w:eastAsia="en-US"/>
    </w:rPr>
  </w:style>
  <w:style w:type="character" w:customStyle="1" w:styleId="CommentTextChar">
    <w:name w:val="Comment Text Char"/>
    <w:basedOn w:val="DefaultParagraphFont"/>
    <w:link w:val="CommentText"/>
    <w:uiPriority w:val="99"/>
    <w:rsid w:val="00335306"/>
    <w:rPr>
      <w:lang w:val="en-US" w:eastAsia="en-US"/>
    </w:rPr>
  </w:style>
  <w:style w:type="character" w:customStyle="1" w:styleId="BodyText3Char">
    <w:name w:val="Body Text 3 Char"/>
    <w:basedOn w:val="DefaultParagraphFont"/>
    <w:link w:val="BodyText3"/>
    <w:rsid w:val="00631336"/>
    <w:rPr>
      <w:rFonts w:ascii="Arial" w:hAnsi="Arial" w:cs="Arial"/>
      <w:i/>
      <w:iCs/>
      <w:szCs w:val="24"/>
      <w:lang w:val="en-US" w:eastAsia="en-US"/>
    </w:rPr>
  </w:style>
  <w:style w:type="character" w:customStyle="1" w:styleId="BodyTextChar">
    <w:name w:val="Body Text Char"/>
    <w:basedOn w:val="DefaultParagraphFont"/>
    <w:link w:val="BodyText"/>
    <w:rsid w:val="00F36E11"/>
    <w:rPr>
      <w:rFonts w:ascii="Arial" w:hAnsi="Arial" w:cs="Arial"/>
      <w:szCs w:val="24"/>
      <w:lang w:val="en-US" w:eastAsia="en-US"/>
    </w:rPr>
  </w:style>
  <w:style w:type="paragraph" w:styleId="ListParagraph">
    <w:name w:val="List Paragraph"/>
    <w:basedOn w:val="Normal"/>
    <w:uiPriority w:val="34"/>
    <w:qFormat/>
    <w:rsid w:val="00F36E11"/>
    <w:pPr>
      <w:ind w:left="720"/>
      <w:contextualSpacing/>
    </w:pPr>
  </w:style>
  <w:style w:type="character" w:customStyle="1" w:styleId="Heading2Char">
    <w:name w:val="Heading 2 Char"/>
    <w:basedOn w:val="DefaultParagraphFont"/>
    <w:link w:val="Heading2"/>
    <w:uiPriority w:val="9"/>
    <w:rsid w:val="006B202E"/>
    <w:rPr>
      <w:rFonts w:ascii="Arial" w:hAnsi="Arial" w:cs="Arial"/>
      <w:b/>
      <w:bCs/>
      <w:sz w:val="24"/>
      <w:szCs w:val="24"/>
      <w:lang w:val="en-US" w:eastAsia="en-US"/>
    </w:rPr>
  </w:style>
  <w:style w:type="character" w:customStyle="1" w:styleId="Heading4Char">
    <w:name w:val="Heading 4 Char"/>
    <w:basedOn w:val="DefaultParagraphFont"/>
    <w:link w:val="Heading4"/>
    <w:rsid w:val="006B202E"/>
    <w:rPr>
      <w:rFonts w:ascii="Arial" w:hAnsi="Arial" w:cs="Arial"/>
      <w:color w:val="660000"/>
      <w:sz w:val="22"/>
      <w:szCs w:val="36"/>
      <w:lang w:val="en-US" w:eastAsia="en-US"/>
    </w:rPr>
  </w:style>
  <w:style w:type="character" w:customStyle="1" w:styleId="Heading8Char">
    <w:name w:val="Heading 8 Char"/>
    <w:basedOn w:val="DefaultParagraphFont"/>
    <w:link w:val="Heading8"/>
    <w:rsid w:val="006B202E"/>
    <w:rPr>
      <w:rFonts w:ascii="Arial" w:hAnsi="Arial" w:cs="Arial"/>
      <w:b/>
      <w:bCs/>
      <w:sz w:val="22"/>
      <w:szCs w:val="24"/>
      <w:lang w:val="en-US" w:eastAsia="en-US"/>
    </w:rPr>
  </w:style>
  <w:style w:type="character" w:customStyle="1" w:styleId="FooterChar">
    <w:name w:val="Footer Char"/>
    <w:basedOn w:val="DefaultParagraphFont"/>
    <w:link w:val="Footer"/>
    <w:rsid w:val="006B202E"/>
    <w:rPr>
      <w:sz w:val="24"/>
      <w:szCs w:val="24"/>
      <w:lang w:val="en-US" w:eastAsia="en-US"/>
    </w:rPr>
  </w:style>
  <w:style w:type="character" w:customStyle="1" w:styleId="Heading9Char">
    <w:name w:val="Heading 9 Char"/>
    <w:basedOn w:val="DefaultParagraphFont"/>
    <w:link w:val="Heading9"/>
    <w:rsid w:val="0084589A"/>
    <w:rPr>
      <w:rFonts w:ascii="Arial" w:hAnsi="Arial" w:cs="Arial"/>
      <w:b/>
      <w:bCs/>
      <w:szCs w:val="18"/>
      <w:lang w:val="en-US" w:eastAsia="en-US"/>
    </w:rPr>
  </w:style>
  <w:style w:type="character" w:customStyle="1" w:styleId="TitleChar">
    <w:name w:val="Title Char"/>
    <w:basedOn w:val="DefaultParagraphFont"/>
    <w:link w:val="Title"/>
    <w:rsid w:val="0084589A"/>
    <w:rPr>
      <w:rFonts w:ascii="Arial" w:hAnsi="Arial" w:cs="Arial"/>
      <w:b/>
      <w:bCs/>
      <w:sz w:val="36"/>
      <w:szCs w:val="24"/>
      <w:lang w:val="en-US" w:eastAsia="en-US"/>
    </w:rPr>
  </w:style>
  <w:style w:type="character" w:customStyle="1" w:styleId="Heading1Char">
    <w:name w:val="Heading 1 Char"/>
    <w:basedOn w:val="DefaultParagraphFont"/>
    <w:link w:val="Heading1"/>
    <w:rsid w:val="001C1732"/>
    <w:rPr>
      <w:rFonts w:ascii="Arial" w:hAnsi="Arial" w:cs="Arial"/>
      <w:b/>
      <w:bCs/>
      <w:szCs w:val="24"/>
      <w:lang w:val="en-US" w:eastAsia="en-US"/>
    </w:rPr>
  </w:style>
  <w:style w:type="character" w:customStyle="1" w:styleId="BalloonTextChar">
    <w:name w:val="Balloon Text Char"/>
    <w:basedOn w:val="DefaultParagraphFont"/>
    <w:link w:val="BalloonText"/>
    <w:semiHidden/>
    <w:rsid w:val="001C1732"/>
    <w:rPr>
      <w:rFonts w:ascii="Tahoma" w:hAnsi="Tahoma" w:cs="Tahoma"/>
      <w:sz w:val="16"/>
      <w:szCs w:val="16"/>
      <w:lang w:val="en-US" w:eastAsia="en-US"/>
    </w:rPr>
  </w:style>
  <w:style w:type="character" w:customStyle="1" w:styleId="SubtitleChar">
    <w:name w:val="Subtitle Char"/>
    <w:basedOn w:val="DefaultParagraphFont"/>
    <w:link w:val="Subtitle"/>
    <w:rsid w:val="001C1732"/>
    <w:rPr>
      <w:rFonts w:ascii="Arial" w:eastAsia="Arial Unicode MS" w:hAnsi="Arial" w:cs="Arial"/>
      <w:b/>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20819">
      <w:bodyDiv w:val="1"/>
      <w:marLeft w:val="0"/>
      <w:marRight w:val="0"/>
      <w:marTop w:val="0"/>
      <w:marBottom w:val="0"/>
      <w:divBdr>
        <w:top w:val="none" w:sz="0" w:space="0" w:color="auto"/>
        <w:left w:val="none" w:sz="0" w:space="0" w:color="auto"/>
        <w:bottom w:val="none" w:sz="0" w:space="0" w:color="auto"/>
        <w:right w:val="none" w:sz="0" w:space="0" w:color="auto"/>
      </w:divBdr>
    </w:div>
    <w:div w:id="188495135">
      <w:bodyDiv w:val="1"/>
      <w:marLeft w:val="0"/>
      <w:marRight w:val="0"/>
      <w:marTop w:val="0"/>
      <w:marBottom w:val="0"/>
      <w:divBdr>
        <w:top w:val="none" w:sz="0" w:space="0" w:color="auto"/>
        <w:left w:val="none" w:sz="0" w:space="0" w:color="auto"/>
        <w:bottom w:val="none" w:sz="0" w:space="0" w:color="auto"/>
        <w:right w:val="none" w:sz="0" w:space="0" w:color="auto"/>
      </w:divBdr>
    </w:div>
    <w:div w:id="822740531">
      <w:bodyDiv w:val="1"/>
      <w:marLeft w:val="0"/>
      <w:marRight w:val="0"/>
      <w:marTop w:val="0"/>
      <w:marBottom w:val="0"/>
      <w:divBdr>
        <w:top w:val="none" w:sz="0" w:space="0" w:color="auto"/>
        <w:left w:val="none" w:sz="0" w:space="0" w:color="auto"/>
        <w:bottom w:val="none" w:sz="0" w:space="0" w:color="auto"/>
        <w:right w:val="none" w:sz="0" w:space="0" w:color="auto"/>
      </w:divBdr>
    </w:div>
    <w:div w:id="1954053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7.emf"/><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unece.org/energy/se/reserves.html" TargetMode="External"/><Relationship Id="rId23" Type="http://schemas.openxmlformats.org/officeDocument/2006/relationships/footer" Target="footer4.xml"/><Relationship Id="rId10" Type="http://schemas.openxmlformats.org/officeDocument/2006/relationships/oleObject" Target="embeddings/oleObject1.bin"/><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0EE13-8984-438F-B2C9-0D696C25A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22672</Words>
  <Characters>129232</Characters>
  <Application>Microsoft Office Word</Application>
  <DocSecurity>0</DocSecurity>
  <Lines>1076</Lines>
  <Paragraphs>303</Paragraphs>
  <ScaleCrop>false</ScaleCrop>
  <HeadingPairs>
    <vt:vector size="2" baseType="variant">
      <vt:variant>
        <vt:lpstr>Title</vt:lpstr>
      </vt:variant>
      <vt:variant>
        <vt:i4>1</vt:i4>
      </vt:variant>
    </vt:vector>
  </HeadingPairs>
  <TitlesOfParts>
    <vt:vector size="1" baseType="lpstr">
      <vt:lpstr>Petroleum Reserves and Resources Definitions</vt:lpstr>
    </vt:vector>
  </TitlesOfParts>
  <Company>Shell</Company>
  <LinksUpToDate>false</LinksUpToDate>
  <CharactersWithSpaces>151601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Petroleum Reserves and Resources Definitions</dc:title>
  <dc:creator>Etherington</dc:creator>
  <cp:lastModifiedBy>Any Santos</cp:lastModifiedBy>
  <cp:revision>2</cp:revision>
  <cp:lastPrinted>2007-03-28T16:43:00Z</cp:lastPrinted>
  <dcterms:created xsi:type="dcterms:W3CDTF">2016-12-15T18:48:00Z</dcterms:created>
  <dcterms:modified xsi:type="dcterms:W3CDTF">2016-12-15T18:48:00Z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